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LOCSHIELD</w:t>
      </w:r>
    </w:p>
    <w:p>
      <w:pPr>
        <w:jc w:val="center"/>
      </w:pPr>
      <w:r>
        <w:rPr>
          <w:b/>
          <w:sz w:val="34"/>
        </w:rPr>
        <w:t>Document 11 — AIDL &amp; Internal API Specification v1</w:t>
      </w:r>
    </w:p>
    <w:p>
      <w:pPr>
        <w:jc w:val="center"/>
      </w:pPr>
      <w:r>
        <w:t>Control APK ↔ System Service ↔ Policy Engine ↔ Enforcement Adapter contracts</w:t>
      </w:r>
    </w:p>
    <w:p>
      <w:pPr>
        <w:jc w:val="center"/>
      </w:pPr>
      <w:r>
        <w:t>Architecture Contract • Version 1.0 •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Project</w:t>
            </w:r>
          </w:p>
        </w:tc>
        <w:tc>
          <w:tcPr>
            <w:tcW w:type="dxa" w:w="4968"/>
          </w:tcPr>
          <w:p>
            <w:r>
              <w:t>LocShield — Per-Application Location Precision &amp; Privacy Control Framework for Android</w:t>
            </w:r>
          </w:p>
        </w:tc>
      </w:tr>
      <w:tr>
        <w:tc>
          <w:tcPr>
            <w:tcW w:type="dxa" w:w="4968"/>
          </w:tcPr>
          <w:p>
            <w:r>
              <w:t>Document</w:t>
            </w:r>
          </w:p>
        </w:tc>
        <w:tc>
          <w:tcPr>
            <w:tcW w:type="dxa" w:w="4968"/>
          </w:tcPr>
          <w:p>
            <w:r>
              <w:t>AIDL &amp; Internal API Specification v1</w:t>
            </w:r>
          </w:p>
        </w:tc>
      </w:tr>
      <w:tr>
        <w:tc>
          <w:tcPr>
            <w:tcW w:type="dxa" w:w="4968"/>
          </w:tcPr>
          <w:p>
            <w:r>
              <w:t>Version</w:t>
            </w:r>
          </w:p>
        </w:tc>
        <w:tc>
          <w:tcPr>
            <w:tcW w:type="dxa" w:w="4968"/>
          </w:tcPr>
          <w:p>
            <w:r>
              <w:t>1.0</w:t>
            </w:r>
          </w:p>
        </w:tc>
      </w:tr>
      <w:tr>
        <w:tc>
          <w:tcPr>
            <w:tcW w:type="dxa" w:w="4968"/>
          </w:tcPr>
          <w:p>
            <w:r>
              <w:t>Purpose</w:t>
            </w:r>
          </w:p>
        </w:tc>
        <w:tc>
          <w:tcPr>
            <w:tcW w:type="dxa" w:w="4968"/>
          </w:tcPr>
          <w:p>
            <w:r>
              <w:t>Freeze IPC and internal contracts before implementation.</w:t>
            </w:r>
          </w:p>
        </w:tc>
      </w:tr>
      <w:tr>
        <w:tc>
          <w:tcPr>
            <w:tcW w:type="dxa" w:w="4968"/>
          </w:tcPr>
          <w:p>
            <w:r>
              <w:t>Depends On</w:t>
            </w:r>
          </w:p>
        </w:tc>
        <w:tc>
          <w:tcPr>
            <w:tcW w:type="dxa" w:w="4968"/>
          </w:tcPr>
          <w:p>
            <w:r>
              <w:t>Documents 01–10</w:t>
            </w:r>
          </w:p>
        </w:tc>
      </w:tr>
      <w:tr>
        <w:tc>
          <w:tcPr>
            <w:tcW w:type="dxa" w:w="4968"/>
          </w:tcPr>
          <w:p>
            <w:r>
              <w:t>Status</w:t>
            </w:r>
          </w:p>
        </w:tc>
        <w:tc>
          <w:tcPr>
            <w:tcW w:type="dxa" w:w="4968"/>
          </w:tcPr>
          <w:p>
            <w:r>
              <w:t>Architecture contract; implementation may add private internals without changing the public contract.</w:t>
            </w:r>
          </w:p>
        </w:tc>
      </w:tr>
    </w:tbl>
    <w:p>
      <w:pPr>
        <w:pStyle w:val="Heading1"/>
      </w:pPr>
      <w:r>
        <w:t>1. Purpose</w:t>
      </w:r>
    </w:p>
    <w:p>
      <w:r>
        <w:rPr>
          <w:b w:val="0"/>
        </w:rPr>
        <w:t>This document defines the contracts between the LocShield Control APK, the privileged LocShield system service, the policy engine, and enforcement adapters. It separates user-facing policy management from the high-frequency location delivery path.</w:t>
      </w:r>
    </w:p>
    <w:p>
      <w:r>
        <w:rPr>
          <w:b w:val="0"/>
        </w:rPr>
        <w:t>Android's permission model remains authoritative. LocShield may further restrict information, but it must never grant an application access that Android has denied.</w:t>
      </w:r>
    </w:p>
    <w:p>
      <w:pPr>
        <w:pStyle w:val="Heading1"/>
      </w:pPr>
      <w:r>
        <w:t>2. Contract Principles</w:t>
      </w:r>
    </w:p>
    <w:p>
      <w:pPr>
        <w:pStyle w:val="ListNumber"/>
      </w:pPr>
      <w:r>
        <w:t>Security decisions are made in the trusted system process, not the Control APK.</w:t>
      </w:r>
    </w:p>
    <w:p>
      <w:pPr>
        <w:pStyle w:val="ListNumber"/>
      </w:pPr>
      <w:r>
        <w:t>Binder identity is authoritative for the caller of the system service.</w:t>
      </w:r>
    </w:p>
    <w:p>
      <w:pPr>
        <w:pStyle w:val="ListNumber"/>
      </w:pPr>
      <w:r>
        <w:t>Client-supplied package names are never sufficient identity proof.</w:t>
      </w:r>
    </w:p>
    <w:p>
      <w:pPr>
        <w:pStyle w:val="ListNumber"/>
      </w:pPr>
      <w:r>
        <w:t>Hot-path policy reads avoid disk, network, UI, and blocking IPC.</w:t>
      </w:r>
    </w:p>
    <w:p>
      <w:pPr>
        <w:pStyle w:val="ListNumber"/>
      </w:pPr>
      <w:r>
        <w:t>Policy updates are transactional.</w:t>
      </w:r>
    </w:p>
    <w:p>
      <w:pPr>
        <w:pStyle w:val="ListNumber"/>
      </w:pPr>
      <w:r>
        <w:t>Invalid policy fails closed.</w:t>
      </w:r>
    </w:p>
    <w:p>
      <w:pPr>
        <w:pStyle w:val="ListNumber"/>
      </w:pPr>
      <w:r>
        <w:t>Unknown policy versions are rejected rather than guessed.</w:t>
      </w:r>
    </w:p>
    <w:p>
      <w:pPr>
        <w:pStyle w:val="ListNumber"/>
      </w:pPr>
      <w:r>
        <w:t>Enforcement adapters may deny or transform information but may not bypass Android authorization.</w:t>
      </w:r>
    </w:p>
    <w:p>
      <w:pPr>
        <w:pStyle w:val="ListNumber"/>
      </w:pPr>
      <w:r>
        <w:t>User-facing APIs never expose raw privileged provider state.</w:t>
      </w:r>
    </w:p>
    <w:p>
      <w:pPr>
        <w:pStyle w:val="Heading1"/>
      </w:pPr>
      <w:r>
        <w:t>3. Component Contract</w:t>
      </w:r>
    </w:p>
    <w:p>
      <w:pPr>
        <w:ind w:left="288"/>
      </w:pPr>
      <w:r>
        <w:rPr>
          <w:rFonts w:ascii="Consolas" w:hAnsi="Consolas"/>
          <w:sz w:val="17"/>
        </w:rPr>
        <w:t>Control APK</w:t>
        <w:br/>
        <w:t xml:space="preserve">     │ Binder/AIDL</w:t>
        <w:br/>
        <w:t xml:space="preserve">     ▼</w:t>
        <w:br/>
        <w:t>LocShieldManagerService</w:t>
        <w:br/>
        <w:t xml:space="preserve">     │ internal API</w:t>
        <w:br/>
        <w:t xml:space="preserve">     ▼</w:t>
        <w:br/>
        <w:t>PolicyEngine</w:t>
        <w:br/>
        <w:t xml:space="preserve">     │ PolicyDecision</w:t>
        <w:br/>
        <w:t xml:space="preserve">     ▼</w:t>
        <w:br/>
        <w:t>EnforcementAdapter</w:t>
      </w:r>
    </w:p>
    <w:p>
      <w:pPr>
        <w:pStyle w:val="Heading1"/>
      </w:pPr>
      <w:r>
        <w:t>4. Binder Surface</w:t>
      </w:r>
    </w:p>
    <w:p>
      <w:pPr>
        <w:ind w:left="288"/>
      </w:pPr>
      <w:r>
        <w:rPr>
          <w:rFonts w:ascii="Consolas" w:hAnsi="Consolas"/>
          <w:sz w:val="17"/>
        </w:rPr>
        <w:t>interface ILocShieldManager {</w:t>
        <w:br/>
        <w:t xml:space="preserve">    PolicyList getPolicies();</w:t>
        <w:br/>
        <w:t xml:space="preserve">    AppPolicy getPolicy(in ApplicationSelector app);</w:t>
        <w:br/>
        <w:t xml:space="preserve">    void setPolicy(in AppPolicy policy);</w:t>
        <w:br/>
        <w:t xml:space="preserve">    void removePolicy(in ApplicationSelector app);</w:t>
        <w:br/>
        <w:t xml:space="preserve">    PolicyDecision preview(in PolicyPreviewRequest request);</w:t>
        <w:br/>
        <w:t xml:space="preserve">    LocShieldStatus getStatus();</w:t>
        <w:br/>
        <w:t>}</w:t>
      </w:r>
    </w:p>
    <w:p>
      <w:r>
        <w:rPr>
          <w:b w:val="0"/>
        </w:rPr>
        <w:t>The Control APK manages policies; it does not directly invoke transformation or enforcement operations.</w:t>
      </w:r>
    </w:p>
    <w:p>
      <w:pPr>
        <w:pStyle w:val="Heading1"/>
      </w:pPr>
      <w:r>
        <w:t>5. API Surface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Purpose</w:t>
            </w:r>
          </w:p>
        </w:tc>
        <w:tc>
          <w:tcPr>
            <w:tcW w:type="dxa" w:w="3312"/>
          </w:tcPr>
          <w:p>
            <w:r>
              <w:t>Hot path?</w:t>
            </w:r>
          </w:p>
        </w:tc>
      </w:tr>
      <w:tr>
        <w:tc>
          <w:tcPr>
            <w:tcW w:type="dxa" w:w="3312"/>
          </w:tcPr>
          <w:p>
            <w:r>
              <w:t>getPolicies()</w:t>
            </w:r>
          </w:p>
        </w:tc>
        <w:tc>
          <w:tcPr>
            <w:tcW w:type="dxa" w:w="3312"/>
          </w:tcPr>
          <w:p>
            <w:r>
              <w:t>Load UI policy list</w:t>
            </w:r>
          </w:p>
        </w:tc>
        <w:tc>
          <w:tcPr>
            <w:tcW w:type="dxa" w:w="3312"/>
          </w:tcPr>
          <w:p>
            <w:r>
              <w:t>No</w:t>
            </w:r>
          </w:p>
        </w:tc>
      </w:tr>
      <w:tr>
        <w:tc>
          <w:tcPr>
            <w:tcW w:type="dxa" w:w="3312"/>
          </w:tcPr>
          <w:p>
            <w:r>
              <w:t>getPolicy()</w:t>
            </w:r>
          </w:p>
        </w:tc>
        <w:tc>
          <w:tcPr>
            <w:tcW w:type="dxa" w:w="3312"/>
          </w:tcPr>
          <w:p>
            <w:r>
              <w:t>Inspect one application's policy</w:t>
            </w:r>
          </w:p>
        </w:tc>
        <w:tc>
          <w:tcPr>
            <w:tcW w:type="dxa" w:w="3312"/>
          </w:tcPr>
          <w:p>
            <w:r>
              <w:t>No</w:t>
            </w:r>
          </w:p>
        </w:tc>
      </w:tr>
      <w:tr>
        <w:tc>
          <w:tcPr>
            <w:tcW w:type="dxa" w:w="3312"/>
          </w:tcPr>
          <w:p>
            <w:r>
              <w:t>setPolicy()</w:t>
            </w:r>
          </w:p>
        </w:tc>
        <w:tc>
          <w:tcPr>
            <w:tcW w:type="dxa" w:w="3312"/>
          </w:tcPr>
          <w:p>
            <w:r>
              <w:t>Create/update policy transactionally</w:t>
            </w:r>
          </w:p>
        </w:tc>
        <w:tc>
          <w:tcPr>
            <w:tcW w:type="dxa" w:w="3312"/>
          </w:tcPr>
          <w:p>
            <w:r>
              <w:t>No</w:t>
            </w:r>
          </w:p>
        </w:tc>
      </w:tr>
      <w:tr>
        <w:tc>
          <w:tcPr>
            <w:tcW w:type="dxa" w:w="3312"/>
          </w:tcPr>
          <w:p>
            <w:r>
              <w:t>removePolicy()</w:t>
            </w:r>
          </w:p>
        </w:tc>
        <w:tc>
          <w:tcPr>
            <w:tcW w:type="dxa" w:w="3312"/>
          </w:tcPr>
          <w:p>
            <w:r>
              <w:t>Remove explicit policy</w:t>
            </w:r>
          </w:p>
        </w:tc>
        <w:tc>
          <w:tcPr>
            <w:tcW w:type="dxa" w:w="3312"/>
          </w:tcPr>
          <w:p>
            <w:r>
              <w:t>No</w:t>
            </w:r>
          </w:p>
        </w:tc>
      </w:tr>
      <w:tr>
        <w:tc>
          <w:tcPr>
            <w:tcW w:type="dxa" w:w="3312"/>
          </w:tcPr>
          <w:p>
            <w:r>
              <w:t>preview()</w:t>
            </w:r>
          </w:p>
        </w:tc>
        <w:tc>
          <w:tcPr>
            <w:tcW w:type="dxa" w:w="3312"/>
          </w:tcPr>
          <w:p>
            <w:r>
              <w:t>Explain hypothetical policy result</w:t>
            </w:r>
          </w:p>
        </w:tc>
        <w:tc>
          <w:tcPr>
            <w:tcW w:type="dxa" w:w="3312"/>
          </w:tcPr>
          <w:p>
            <w:r>
              <w:t>No</w:t>
            </w:r>
          </w:p>
        </w:tc>
      </w:tr>
      <w:tr>
        <w:tc>
          <w:tcPr>
            <w:tcW w:type="dxa" w:w="3312"/>
          </w:tcPr>
          <w:p>
            <w:r>
              <w:t>getStatus()</w:t>
            </w:r>
          </w:p>
        </w:tc>
        <w:tc>
          <w:tcPr>
            <w:tcW w:type="dxa" w:w="3312"/>
          </w:tcPr>
          <w:p>
            <w:r>
              <w:t>Diagnostics/version/capability state</w:t>
            </w:r>
          </w:p>
        </w:tc>
        <w:tc>
          <w:tcPr>
            <w:tcW w:type="dxa" w:w="3312"/>
          </w:tcPr>
          <w:p>
            <w:r>
              <w:t>No</w:t>
            </w:r>
          </w:p>
        </w:tc>
      </w:tr>
    </w:tbl>
    <w:p>
      <w:r>
        <w:rPr>
          <w:b w:val="0"/>
        </w:rPr>
        <w:t>There is intentionally no public Binder transformLocation() method. Otherwise an untrusted application could potentially turn the service into a location oracle.</w:t>
      </w:r>
    </w:p>
    <w:p>
      <w:pPr>
        <w:pStyle w:val="Heading1"/>
      </w:pPr>
      <w:r>
        <w:t>6. ApplicationSelector</w:t>
      </w:r>
    </w:p>
    <w:p>
      <w:pPr>
        <w:ind w:left="288"/>
      </w:pPr>
      <w:r>
        <w:rPr>
          <w:rFonts w:ascii="Consolas" w:hAnsi="Consolas"/>
          <w:sz w:val="17"/>
        </w:rPr>
        <w:t>ApplicationSelector {</w:t>
        <w:br/>
        <w:t xml:space="preserve">    packageName: String</w:t>
        <w:br/>
        <w:t xml:space="preserve">    userId: int</w:t>
        <w:br/>
        <w:t>}</w:t>
      </w:r>
    </w:p>
    <w:p>
      <w:r>
        <w:rPr>
          <w:b w:val="0"/>
        </w:rPr>
        <w:t>The service validates the package against trusted Android caller context. Administrative operations targeting another package require separate privileged authority.</w:t>
      </w:r>
    </w:p>
    <w:p>
      <w:pPr>
        <w:pStyle w:val="Heading1"/>
      </w:pPr>
      <w:r>
        <w:t>7. AppPolicy</w:t>
      </w:r>
    </w:p>
    <w:p>
      <w:pPr>
        <w:ind w:left="288"/>
      </w:pPr>
      <w:r>
        <w:rPr>
          <w:rFonts w:ascii="Consolas" w:hAnsi="Consolas"/>
          <w:sz w:val="17"/>
        </w:rPr>
        <w:t>AppPolicy {</w:t>
        <w:br/>
        <w:t xml:space="preserve">    schemaVersion: int</w:t>
        <w:br/>
        <w:t xml:space="preserve">    packageName: String</w:t>
        <w:br/>
        <w:t xml:space="preserve">    userId: int</w:t>
        <w:br/>
        <w:t xml:space="preserve">    enabled: boolean</w:t>
        <w:br/>
        <w:t xml:space="preserve">    spatial: SpatialPolicy</w:t>
        <w:br/>
        <w:t xml:space="preserve">    temporal: TemporalPolicy</w:t>
        <w:br/>
        <w:t xml:space="preserve">    background: BackgroundPolicy</w:t>
        <w:br/>
        <w:t xml:space="preserve">    metadata: MetadataPolicy</w:t>
        <w:br/>
        <w:t xml:space="preserve">    randomization: RandomizationPolicy</w:t>
        <w:br/>
        <w:t xml:space="preserve">    createdAt: long</w:t>
        <w:br/>
        <w:t xml:space="preserve">    updatedAt: long</w:t>
        <w:br/>
        <w:t xml:space="preserve">    expiresAt: long?</w:t>
        <w:br/>
        <w:t>}</w:t>
      </w:r>
    </w:p>
    <w:p>
      <w:pPr>
        <w:pStyle w:val="Heading1"/>
      </w:pPr>
      <w:r>
        <w:t>8. SpatialPolicy</w:t>
      </w:r>
    </w:p>
    <w:p>
      <w:pPr>
        <w:ind w:left="288"/>
      </w:pPr>
      <w:r>
        <w:rPr>
          <w:rFonts w:ascii="Consolas" w:hAnsi="Consolas"/>
          <w:sz w:val="17"/>
        </w:rPr>
        <w:t>SpatialPolicy {</w:t>
        <w:br/>
        <w:t xml:space="preserve">    mode: SpatialMode</w:t>
        <w:br/>
        <w:t xml:space="preserve">    radiusMeters: float?</w:t>
        <w:br/>
        <w:t xml:space="preserve">    gridMeters: float?</w:t>
        <w:br/>
        <w:t xml:space="preserve">    cityId: String?</w:t>
        <w:br/>
        <w:t>}</w:t>
      </w:r>
    </w:p>
    <w:tbl>
      <w:tblPr>
        <w:tblStyle w:val="TableGrid"/>
        <w:tblW w:type="auto" w:w="0"/>
        <w:tblLook w:firstColumn="1" w:firstRow="1" w:lastColumn="0" w:lastRow="0" w:noHBand="0" w:noVBand="1" w:val="04A0"/>
      </w:tblPr>
      <w:tblGrid>
        <w:gridCol w:w="4968"/>
        <w:gridCol w:w="4968"/>
      </w:tblGrid>
      <w:tr>
        <w:tc>
          <w:tcPr>
            <w:tcW w:type="dxa" w:w="4968"/>
          </w:tcPr>
          <w:p>
            <w:r>
              <w:t>Mode</w:t>
            </w:r>
          </w:p>
        </w:tc>
        <w:tc>
          <w:tcPr>
            <w:tcW w:type="dxa" w:w="4968"/>
          </w:tcPr>
          <w:p>
            <w:r>
              <w:t>Meaning</w:t>
            </w:r>
          </w:p>
        </w:tc>
      </w:tr>
      <w:tr>
        <w:tc>
          <w:tcPr>
            <w:tcW w:type="dxa" w:w="4968"/>
          </w:tcPr>
          <w:p>
            <w:r>
              <w:t>EXACT</w:t>
            </w:r>
          </w:p>
        </w:tc>
        <w:tc>
          <w:tcPr>
            <w:tcW w:type="dxa" w:w="4968"/>
          </w:tcPr>
          <w:p>
            <w:r>
              <w:t>No additional LocShield spatial degradation; Android authorization still applies.</w:t>
            </w:r>
          </w:p>
        </w:tc>
      </w:tr>
      <w:tr>
        <w:tc>
          <w:tcPr>
            <w:tcW w:type="dxa" w:w="4968"/>
          </w:tcPr>
          <w:p>
            <w:r>
              <w:t>RADIUS</w:t>
            </w:r>
          </w:p>
        </w:tc>
        <w:tc>
          <w:tcPr>
            <w:tcW w:type="dxa" w:w="4968"/>
          </w:tcPr>
          <w:p>
            <w:r>
              <w:t>Reduce effective location to configured radius.</w:t>
            </w:r>
          </w:p>
        </w:tc>
      </w:tr>
      <w:tr>
        <w:tc>
          <w:tcPr>
            <w:tcW w:type="dxa" w:w="4968"/>
          </w:tcPr>
          <w:p>
            <w:r>
              <w:t>GRID</w:t>
            </w:r>
          </w:p>
        </w:tc>
        <w:tc>
          <w:tcPr>
            <w:tcW w:type="dxa" w:w="4968"/>
          </w:tcPr>
          <w:p>
            <w:r>
              <w:t>Quantize location into a configured spatial grid.</w:t>
            </w:r>
          </w:p>
        </w:tc>
      </w:tr>
      <w:tr>
        <w:tc>
          <w:tcPr>
            <w:tcW w:type="dxa" w:w="4968"/>
          </w:tcPr>
          <w:p>
            <w:r>
              <w:t>CITY</w:t>
            </w:r>
          </w:p>
        </w:tc>
        <w:tc>
          <w:tcPr>
            <w:tcW w:type="dxa" w:w="4968"/>
          </w:tcPr>
          <w:p>
            <w:r>
              <w:t>Return a city-level representation.</w:t>
            </w:r>
          </w:p>
        </w:tc>
      </w:tr>
      <w:tr>
        <w:tc>
          <w:tcPr>
            <w:tcW w:type="dxa" w:w="4968"/>
          </w:tcPr>
          <w:p>
            <w:r>
              <w:t>DENY</w:t>
            </w:r>
          </w:p>
        </w:tc>
        <w:tc>
          <w:tcPr>
            <w:tcW w:type="dxa" w:w="4968"/>
          </w:tcPr>
          <w:p>
            <w:r>
              <w:t>No location result.</w:t>
            </w:r>
          </w:p>
        </w:tc>
      </w:tr>
      <w:tr>
        <w:tc>
          <w:tcPr>
            <w:tcW w:type="dxa" w:w="4968"/>
          </w:tcPr>
          <w:p>
            <w:r>
              <w:t>RANDOMIZED</w:t>
            </w:r>
          </w:p>
        </w:tc>
        <w:tc>
          <w:tcPr>
            <w:tcW w:type="dxa" w:w="4968"/>
          </w:tcPr>
          <w:p>
            <w:r>
              <w:t>Apply bounded perturbation.</w:t>
            </w:r>
          </w:p>
        </w:tc>
      </w:tr>
    </w:tbl>
    <w:p>
      <w:pPr>
        <w:pStyle w:val="Heading1"/>
      </w:pPr>
      <w:r>
        <w:t>9. TemporalPolicy</w:t>
      </w:r>
    </w:p>
    <w:p>
      <w:pPr>
        <w:ind w:left="288"/>
      </w:pPr>
      <w:r>
        <w:rPr>
          <w:rFonts w:ascii="Consolas" w:hAnsi="Consolas"/>
          <w:sz w:val="17"/>
        </w:rPr>
        <w:t>TemporalPolicy {</w:t>
        <w:br/>
        <w:t xml:space="preserve">    mode: TemporalMode</w:t>
        <w:br/>
        <w:t xml:space="preserve">    minimumIntervalMs: long?</w:t>
        <w:br/>
        <w:t xml:space="preserve">    periodicIntervalMs: long?</w:t>
        <w:br/>
        <w:t xml:space="preserve">    maxDeliveriesPerWindow: int?</w:t>
        <w:br/>
        <w:t xml:space="preserve">    windowMs: long?</w:t>
        <w:br/>
        <w:t>}</w:t>
      </w:r>
    </w:p>
    <w:tbl>
      <w:tblPr>
        <w:tblStyle w:val="TableGrid"/>
        <w:tblW w:type="auto" w:w="0"/>
        <w:tblLook w:firstColumn="1" w:firstRow="1" w:lastColumn="0" w:lastRow="0" w:noHBand="0" w:noVBand="1" w:val="04A0"/>
      </w:tblPr>
      <w:tblGrid>
        <w:gridCol w:w="4968"/>
        <w:gridCol w:w="4968"/>
      </w:tblGrid>
      <w:tr>
        <w:tc>
          <w:tcPr>
            <w:tcW w:type="dxa" w:w="4968"/>
          </w:tcPr>
          <w:p>
            <w:r>
              <w:t>Mode</w:t>
            </w:r>
          </w:p>
        </w:tc>
        <w:tc>
          <w:tcPr>
            <w:tcW w:type="dxa" w:w="4968"/>
          </w:tcPr>
          <w:p>
            <w:r>
              <w:t>Meaning</w:t>
            </w:r>
          </w:p>
        </w:tc>
      </w:tr>
      <w:tr>
        <w:tc>
          <w:tcPr>
            <w:tcW w:type="dxa" w:w="4968"/>
          </w:tcPr>
          <w:p>
            <w:r>
              <w:t>REALTIME</w:t>
            </w:r>
          </w:p>
        </w:tc>
        <w:tc>
          <w:tcPr>
            <w:tcW w:type="dxa" w:w="4968"/>
          </w:tcPr>
          <w:p>
            <w:r>
              <w:t>No additional frequency restriction.</w:t>
            </w:r>
          </w:p>
        </w:tc>
      </w:tr>
      <w:tr>
        <w:tc>
          <w:tcPr>
            <w:tcW w:type="dxa" w:w="4968"/>
          </w:tcPr>
          <w:p>
            <w:r>
              <w:t>MIN_INTERVAL</w:t>
            </w:r>
          </w:p>
        </w:tc>
        <w:tc>
          <w:tcPr>
            <w:tcW w:type="dxa" w:w="4968"/>
          </w:tcPr>
          <w:p>
            <w:r>
              <w:t>Suppress deliveries occurring too soon.</w:t>
            </w:r>
          </w:p>
        </w:tc>
      </w:tr>
      <w:tr>
        <w:tc>
          <w:tcPr>
            <w:tcW w:type="dxa" w:w="4968"/>
          </w:tcPr>
          <w:p>
            <w:r>
              <w:t>PERIODIC</w:t>
            </w:r>
          </w:p>
        </w:tc>
        <w:tc>
          <w:tcPr>
            <w:tcW w:type="dxa" w:w="4968"/>
          </w:tcPr>
          <w:p>
            <w:r>
              <w:t>Deliver only on configured schedule.</w:t>
            </w:r>
          </w:p>
        </w:tc>
      </w:tr>
      <w:tr>
        <w:tc>
          <w:tcPr>
            <w:tcW w:type="dxa" w:w="4968"/>
          </w:tcPr>
          <w:p>
            <w:r>
              <w:t>RATE_LIMIT</w:t>
            </w:r>
          </w:p>
        </w:tc>
        <w:tc>
          <w:tcPr>
            <w:tcW w:type="dxa" w:w="4968"/>
          </w:tcPr>
          <w:p>
            <w:r>
              <w:t>Limit deliveries in a rolling window.</w:t>
            </w:r>
          </w:p>
        </w:tc>
      </w:tr>
      <w:tr>
        <w:tc>
          <w:tcPr>
            <w:tcW w:type="dxa" w:w="4968"/>
          </w:tcPr>
          <w:p>
            <w:r>
              <w:t>ONE_SHOT</w:t>
            </w:r>
          </w:p>
        </w:tc>
        <w:tc>
          <w:tcPr>
            <w:tcW w:type="dxa" w:w="4968"/>
          </w:tcPr>
          <w:p>
            <w:r>
              <w:t>Allow one compliant result.</w:t>
            </w:r>
          </w:p>
        </w:tc>
      </w:tr>
    </w:tbl>
    <w:p>
      <w:pPr>
        <w:pStyle w:val="Heading1"/>
      </w:pPr>
      <w:r>
        <w:t>10. BackgroundPolicy</w:t>
      </w:r>
    </w:p>
    <w:p>
      <w:pPr>
        <w:ind w:left="288"/>
      </w:pPr>
      <w:r>
        <w:rPr>
          <w:rFonts w:ascii="Consolas" w:hAnsi="Consolas"/>
          <w:sz w:val="17"/>
        </w:rPr>
        <w:t>BackgroundPolicy {</w:t>
        <w:br/>
        <w:t xml:space="preserve">    mode: BackgroundMode</w:t>
        <w:br/>
        <w:t>}</w:t>
      </w:r>
    </w:p>
    <w:tbl>
      <w:tblPr>
        <w:tblStyle w:val="TableGrid"/>
        <w:tblW w:type="auto" w:w="0"/>
        <w:tblLook w:firstColumn="1" w:firstRow="1" w:lastColumn="0" w:lastRow="0" w:noHBand="0" w:noVBand="1" w:val="04A0"/>
      </w:tblPr>
      <w:tblGrid>
        <w:gridCol w:w="4968"/>
        <w:gridCol w:w="4968"/>
      </w:tblGrid>
      <w:tr>
        <w:tc>
          <w:tcPr>
            <w:tcW w:type="dxa" w:w="4968"/>
          </w:tcPr>
          <w:p>
            <w:r>
              <w:t>Mode</w:t>
            </w:r>
          </w:p>
        </w:tc>
        <w:tc>
          <w:tcPr>
            <w:tcW w:type="dxa" w:w="4968"/>
          </w:tcPr>
          <w:p>
            <w:r>
              <w:t>Meaning</w:t>
            </w:r>
          </w:p>
        </w:tc>
      </w:tr>
      <w:tr>
        <w:tc>
          <w:tcPr>
            <w:tcW w:type="dxa" w:w="4968"/>
          </w:tcPr>
          <w:p>
            <w:r>
              <w:t>INHERIT_ANDROID</w:t>
            </w:r>
          </w:p>
        </w:tc>
        <w:tc>
          <w:tcPr>
            <w:tcW w:type="dxa" w:w="4968"/>
          </w:tcPr>
          <w:p>
            <w:r>
              <w:t>Do not loosen Android authorization.</w:t>
            </w:r>
          </w:p>
        </w:tc>
      </w:tr>
      <w:tr>
        <w:tc>
          <w:tcPr>
            <w:tcW w:type="dxa" w:w="4968"/>
          </w:tcPr>
          <w:p>
            <w:r>
              <w:t>ALLOW_POLICY</w:t>
            </w:r>
          </w:p>
        </w:tc>
        <w:tc>
          <w:tcPr>
            <w:tcW w:type="dxa" w:w="4968"/>
          </w:tcPr>
          <w:p>
            <w:r>
              <w:t>Allow if Android authorizes the operation.</w:t>
            </w:r>
          </w:p>
        </w:tc>
      </w:tr>
      <w:tr>
        <w:tc>
          <w:tcPr>
            <w:tcW w:type="dxa" w:w="4968"/>
          </w:tcPr>
          <w:p>
            <w:r>
              <w:t>RESTRICT</w:t>
            </w:r>
          </w:p>
        </w:tc>
        <w:tc>
          <w:tcPr>
            <w:tcW w:type="dxa" w:w="4968"/>
          </w:tcPr>
          <w:p>
            <w:r>
              <w:t>Apply additional LocShield restriction.</w:t>
            </w:r>
          </w:p>
        </w:tc>
      </w:tr>
      <w:tr>
        <w:tc>
          <w:tcPr>
            <w:tcW w:type="dxa" w:w="4968"/>
          </w:tcPr>
          <w:p>
            <w:r>
              <w:t>DENY</w:t>
            </w:r>
          </w:p>
        </w:tc>
        <w:tc>
          <w:tcPr>
            <w:tcW w:type="dxa" w:w="4968"/>
          </w:tcPr>
          <w:p>
            <w:r>
              <w:t>Suppress background delivery.</w:t>
            </w:r>
          </w:p>
        </w:tc>
      </w:tr>
    </w:tbl>
    <w:p>
      <w:pPr>
        <w:pStyle w:val="Heading1"/>
      </w:pPr>
      <w:r>
        <w:t>11. MetadataPolicy</w:t>
      </w:r>
    </w:p>
    <w:p>
      <w:pPr>
        <w:ind w:left="288"/>
      </w:pPr>
      <w:r>
        <w:rPr>
          <w:rFonts w:ascii="Consolas" w:hAnsi="Consolas"/>
          <w:sz w:val="17"/>
        </w:rPr>
        <w:t>MetadataPolicy {</w:t>
        <w:br/>
        <w:t xml:space="preserve">    accuracyMode</w:t>
        <w:br/>
        <w:t xml:space="preserve">    timestampMode</w:t>
        <w:br/>
        <w:t xml:space="preserve">    elapsedRealtimeMode</w:t>
        <w:br/>
        <w:t xml:space="preserve">    altitudeMode</w:t>
        <w:br/>
        <w:t xml:space="preserve">    speedMode</w:t>
        <w:br/>
        <w:t xml:space="preserve">    bearingMode</w:t>
        <w:br/>
        <w:t xml:space="preserve">    providerMode</w:t>
        <w:br/>
        <w:t xml:space="preserve">    extrasMode</w:t>
        <w:br/>
        <w:t>}</w:t>
      </w:r>
    </w:p>
    <w:p>
      <w:r>
        <w:rPr>
          <w:b w:val="0"/>
        </w:rPr>
        <w:t>Each metadata field is independently controlled so a coarse coordinate cannot be paired with contradictory precise movement metadata.</w:t>
      </w:r>
    </w:p>
    <w:p>
      <w:pPr>
        <w:pStyle w:val="Heading1"/>
      </w:pPr>
      <w:r>
        <w:t>12. RandomizationPolicy</w:t>
      </w:r>
    </w:p>
    <w:p>
      <w:pPr>
        <w:ind w:left="288"/>
      </w:pPr>
      <w:r>
        <w:rPr>
          <w:rFonts w:ascii="Consolas" w:hAnsi="Consolas"/>
          <w:sz w:val="17"/>
        </w:rPr>
        <w:t>RandomizationPolicy {</w:t>
        <w:br/>
        <w:t xml:space="preserve">    enabled: boolean</w:t>
        <w:br/>
        <w:t xml:space="preserve">    radiusMeters: float?</w:t>
        <w:br/>
        <w:t xml:space="preserve">    stableForMs: long?</w:t>
        <w:br/>
        <w:t xml:space="preserve">    seedMode: SeedMode</w:t>
        <w:br/>
        <w:t>}</w:t>
      </w:r>
    </w:p>
    <w:tbl>
      <w:tblPr>
        <w:tblStyle w:val="TableGrid"/>
        <w:tblW w:type="auto" w:w="0"/>
        <w:tblLook w:firstColumn="1" w:firstRow="1" w:lastColumn="0" w:lastRow="0" w:noHBand="0" w:noVBand="1" w:val="04A0"/>
      </w:tblPr>
      <w:tblGrid>
        <w:gridCol w:w="4968"/>
        <w:gridCol w:w="4968"/>
      </w:tblGrid>
      <w:tr>
        <w:tc>
          <w:tcPr>
            <w:tcW w:type="dxa" w:w="4968"/>
          </w:tcPr>
          <w:p>
            <w:r>
              <w:t>SeedMode</w:t>
            </w:r>
          </w:p>
        </w:tc>
        <w:tc>
          <w:tcPr>
            <w:tcW w:type="dxa" w:w="4968"/>
          </w:tcPr>
          <w:p>
            <w:r>
              <w:t>Purpose</w:t>
            </w:r>
          </w:p>
        </w:tc>
      </w:tr>
      <w:tr>
        <w:tc>
          <w:tcPr>
            <w:tcW w:type="dxa" w:w="4968"/>
          </w:tcPr>
          <w:p>
            <w:r>
              <w:t>PER_DELIVERY</w:t>
            </w:r>
          </w:p>
        </w:tc>
        <w:tc>
          <w:tcPr>
            <w:tcW w:type="dxa" w:w="4968"/>
          </w:tcPr>
          <w:p>
            <w:r>
              <w:t>New perturbation each delivery.</w:t>
            </w:r>
          </w:p>
        </w:tc>
      </w:tr>
      <w:tr>
        <w:tc>
          <w:tcPr>
            <w:tcW w:type="dxa" w:w="4968"/>
          </w:tcPr>
          <w:p>
            <w:r>
              <w:t>PERIOD_STABLE</w:t>
            </w:r>
          </w:p>
        </w:tc>
        <w:tc>
          <w:tcPr>
            <w:tcW w:type="dxa" w:w="4968"/>
          </w:tcPr>
          <w:p>
            <w:r>
              <w:t>Stable within a configured period.</w:t>
            </w:r>
          </w:p>
        </w:tc>
      </w:tr>
      <w:tr>
        <w:tc>
          <w:tcPr>
            <w:tcW w:type="dxa" w:w="4968"/>
          </w:tcPr>
          <w:p>
            <w:r>
              <w:t>SESSION_STABLE</w:t>
            </w:r>
          </w:p>
        </w:tc>
        <w:tc>
          <w:tcPr>
            <w:tcW w:type="dxa" w:w="4968"/>
          </w:tcPr>
          <w:p>
            <w:r>
              <w:t>Stable during the application session.</w:t>
            </w:r>
          </w:p>
        </w:tc>
      </w:tr>
      <w:tr>
        <w:tc>
          <w:tcPr>
            <w:tcW w:type="dxa" w:w="4968"/>
          </w:tcPr>
          <w:p>
            <w:r>
              <w:t>SYSTEM_MANAGED</w:t>
            </w:r>
          </w:p>
        </w:tc>
        <w:tc>
          <w:tcPr>
            <w:tcW w:type="dxa" w:w="4968"/>
          </w:tcPr>
          <w:p>
            <w:r>
              <w:t>Implementation-defined secure seed.</w:t>
            </w:r>
          </w:p>
        </w:tc>
      </w:tr>
    </w:tbl>
    <w:p>
      <w:pPr>
        <w:pStyle w:val="Heading1"/>
      </w:pPr>
      <w:r>
        <w:t>13. PolicyDecision</w:t>
      </w:r>
    </w:p>
    <w:p>
      <w:pPr>
        <w:ind w:left="288"/>
      </w:pPr>
      <w:r>
        <w:rPr>
          <w:rFonts w:ascii="Consolas" w:hAnsi="Consolas"/>
          <w:sz w:val="17"/>
        </w:rPr>
        <w:t>PolicyDecision {</w:t>
        <w:br/>
        <w:t xml:space="preserve">    decision: Decision</w:t>
        <w:br/>
        <w:t xml:space="preserve">    spatialMode: SpatialMode</w:t>
        <w:br/>
        <w:t xml:space="preserve">    temporalAction: TemporalAction</w:t>
        <w:br/>
        <w:t xml:space="preserve">    metadataMode: MetadataAction</w:t>
        <w:br/>
        <w:t xml:space="preserve">    reasonCode: int</w:t>
        <w:br/>
        <w:t xml:space="preserve">    policyVersion: int</w:t>
        <w:br/>
        <w:t xml:space="preserve">    generatedAtElapsedRealtimeNanos: long</w:t>
        <w:br/>
        <w:t>}</w:t>
      </w:r>
    </w:p>
    <w:tbl>
      <w:tblPr>
        <w:tblStyle w:val="TableGrid"/>
        <w:tblW w:type="auto" w:w="0"/>
        <w:tblLook w:firstColumn="1" w:firstRow="1" w:lastColumn="0" w:lastRow="0" w:noHBand="0" w:noVBand="1" w:val="04A0"/>
      </w:tblPr>
      <w:tblGrid>
        <w:gridCol w:w="4968"/>
        <w:gridCol w:w="4968"/>
      </w:tblGrid>
      <w:tr>
        <w:tc>
          <w:tcPr>
            <w:tcW w:type="dxa" w:w="4968"/>
          </w:tcPr>
          <w:p>
            <w:r>
              <w:t>Decision</w:t>
            </w:r>
          </w:p>
        </w:tc>
        <w:tc>
          <w:tcPr>
            <w:tcW w:type="dxa" w:w="4968"/>
          </w:tcPr>
          <w:p>
            <w:r>
              <w:t>Meaning</w:t>
            </w:r>
          </w:p>
        </w:tc>
      </w:tr>
      <w:tr>
        <w:tc>
          <w:tcPr>
            <w:tcW w:type="dxa" w:w="4968"/>
          </w:tcPr>
          <w:p>
            <w:r>
              <w:t>ALLOW</w:t>
            </w:r>
          </w:p>
        </w:tc>
        <w:tc>
          <w:tcPr>
            <w:tcW w:type="dxa" w:w="4968"/>
          </w:tcPr>
          <w:p>
            <w:r>
              <w:t>Deliver without additional spatial transformation.</w:t>
            </w:r>
          </w:p>
        </w:tc>
      </w:tr>
      <w:tr>
        <w:tc>
          <w:tcPr>
            <w:tcW w:type="dxa" w:w="4968"/>
          </w:tcPr>
          <w:p>
            <w:r>
              <w:t>TRANSFORM</w:t>
            </w:r>
          </w:p>
        </w:tc>
        <w:tc>
          <w:tcPr>
            <w:tcW w:type="dxa" w:w="4968"/>
          </w:tcPr>
          <w:p>
            <w:r>
              <w:t>Deliver only after transformation.</w:t>
            </w:r>
          </w:p>
        </w:tc>
      </w:tr>
      <w:tr>
        <w:tc>
          <w:tcPr>
            <w:tcW w:type="dxa" w:w="4968"/>
          </w:tcPr>
          <w:p>
            <w:r>
              <w:t>THROTTLE</w:t>
            </w:r>
          </w:p>
        </w:tc>
        <w:tc>
          <w:tcPr>
            <w:tcW w:type="dxa" w:w="4968"/>
          </w:tcPr>
          <w:p>
            <w:r>
              <w:t>Suppress this delivery due to temporal policy.</w:t>
            </w:r>
          </w:p>
        </w:tc>
      </w:tr>
      <w:tr>
        <w:tc>
          <w:tcPr>
            <w:tcW w:type="dxa" w:w="4968"/>
          </w:tcPr>
          <w:p>
            <w:r>
              <w:t>DENY</w:t>
            </w:r>
          </w:p>
        </w:tc>
        <w:tc>
          <w:tcPr>
            <w:tcW w:type="dxa" w:w="4968"/>
          </w:tcPr>
          <w:p>
            <w:r>
              <w:t>Do not deliver the location.</w:t>
            </w:r>
          </w:p>
        </w:tc>
      </w:tr>
      <w:tr>
        <w:tc>
          <w:tcPr>
            <w:tcW w:type="dxa" w:w="4968"/>
          </w:tcPr>
          <w:p>
            <w:r>
              <w:t>ERROR_FAIL_CLOSED</w:t>
            </w:r>
          </w:p>
        </w:tc>
        <w:tc>
          <w:tcPr>
            <w:tcW w:type="dxa" w:w="4968"/>
          </w:tcPr>
          <w:p>
            <w:r>
              <w:t>Evaluation failed; do not expose sensitive data.</w:t>
            </w:r>
          </w:p>
        </w:tc>
      </w:tr>
    </w:tbl>
    <w:p>
      <w:pPr>
        <w:pStyle w:val="Heading1"/>
      </w:pPr>
      <w:r>
        <w:t>14. Internal Policy Engine API</w:t>
      </w:r>
    </w:p>
    <w:p>
      <w:pPr>
        <w:ind w:left="288"/>
      </w:pPr>
      <w:r>
        <w:rPr>
          <w:rFonts w:ascii="Consolas" w:hAnsi="Consolas"/>
          <w:sz w:val="17"/>
        </w:rPr>
        <w:t>interface PolicyEngine {</w:t>
        <w:br/>
        <w:t xml:space="preserve">    EffectivePolicy resolve(ApplicationIdentity, RequestContext);</w:t>
        <w:br/>
        <w:t xml:space="preserve">    PolicyDecision evaluate(EffectivePolicy, LocationContext);</w:t>
        <w:br/>
        <w:t>}</w:t>
      </w:r>
    </w:p>
    <w:p>
      <w:r>
        <w:rPr>
          <w:b w:val="0"/>
        </w:rPr>
        <w:t>This is in-process. It must not perform Binder calls, disk I/O, network I/O, or UI work on the delivery hot path.</w:t>
      </w:r>
    </w:p>
    <w:p>
      <w:pPr>
        <w:pStyle w:val="Heading1"/>
      </w:pPr>
      <w:r>
        <w:t>15. ApplicationIdentity</w:t>
      </w:r>
    </w:p>
    <w:p>
      <w:pPr>
        <w:ind w:left="288"/>
      </w:pPr>
      <w:r>
        <w:rPr>
          <w:rFonts w:ascii="Consolas" w:hAnsi="Consolas"/>
          <w:sz w:val="17"/>
        </w:rPr>
        <w:t>ApplicationIdentity {</w:t>
        <w:br/>
        <w:t xml:space="preserve">    uid: int</w:t>
        <w:br/>
        <w:t xml:space="preserve">    userId: int</w:t>
        <w:br/>
        <w:t xml:space="preserve">    packageName: String</w:t>
        <w:br/>
        <w:t xml:space="preserve">    attributionTag: String?</w:t>
        <w:br/>
        <w:t xml:space="preserve">    featureId: String?</w:t>
        <w:br/>
        <w:t>}</w:t>
      </w:r>
    </w:p>
    <w:p>
      <w:r>
        <w:rPr>
          <w:b w:val="0"/>
        </w:rPr>
        <w:t>The system service populates this from trusted Android caller context. Client-provided identity is advisory and must be validated.</w:t>
      </w:r>
    </w:p>
    <w:p>
      <w:pPr>
        <w:pStyle w:val="Heading1"/>
      </w:pPr>
      <w:r>
        <w:t>16. RequestContext</w:t>
      </w:r>
    </w:p>
    <w:p>
      <w:pPr>
        <w:ind w:left="288"/>
      </w:pPr>
      <w:r>
        <w:rPr>
          <w:rFonts w:ascii="Consolas" w:hAnsi="Consolas"/>
          <w:sz w:val="17"/>
        </w:rPr>
        <w:t>RequestContext {</w:t>
        <w:br/>
        <w:t xml:space="preserve">    ApplicationIdentity identity</w:t>
        <w:br/>
        <w:t xml:space="preserve">    RequestType requestType</w:t>
        <w:br/>
        <w:t xml:space="preserve">    ProviderType providerType</w:t>
        <w:br/>
        <w:t xml:space="preserve">    boolean isForeground</w:t>
        <w:br/>
        <w:t xml:space="preserve">    long requestedIntervalMs</w:t>
        <w:br/>
        <w:t xml:space="preserve">    int requestedQuality</w:t>
        <w:br/>
        <w:t xml:space="preserve">    boolean hasBackgroundPermission</w:t>
        <w:br/>
        <w:t xml:space="preserve">    long requestStartElapsedRealtimeNanos</w:t>
        <w:br/>
        <w:t>}</w:t>
      </w:r>
    </w:p>
    <w:p>
      <w:pPr>
        <w:pStyle w:val="Heading1"/>
      </w:pPr>
      <w:r>
        <w:t>17. LocationContext</w:t>
      </w:r>
    </w:p>
    <w:p>
      <w:pPr>
        <w:ind w:left="288"/>
      </w:pPr>
      <w:r>
        <w:rPr>
          <w:rFonts w:ascii="Consolas" w:hAnsi="Consolas"/>
          <w:sz w:val="17"/>
        </w:rPr>
        <w:t>LocationContext {</w:t>
        <w:br/>
        <w:t xml:space="preserve">    RawLocation location</w:t>
        <w:br/>
        <w:t xml:space="preserve">    long deliveryElapsedRealtimeNanos</w:t>
        <w:br/>
        <w:t xml:space="preserve">    LocationSource source</w:t>
        <w:br/>
        <w:t xml:space="preserve">    boolean isCached</w:t>
        <w:br/>
        <w:t xml:space="preserve">    boolean isPassive</w:t>
        <w:br/>
        <w:t xml:space="preserve">    boolean isGeofenceEvent</w:t>
        <w:br/>
        <w:t>}</w:t>
      </w:r>
    </w:p>
    <w:p>
      <w:pPr>
        <w:pStyle w:val="Heading1"/>
      </w:pPr>
      <w:r>
        <w:t>18. Transformation API</w:t>
      </w:r>
    </w:p>
    <w:p>
      <w:pPr>
        <w:ind w:left="288"/>
      </w:pPr>
      <w:r>
        <w:rPr>
          <w:rFonts w:ascii="Consolas" w:hAnsi="Consolas"/>
          <w:sz w:val="17"/>
        </w:rPr>
        <w:t>interface TransformationEngine {</w:t>
        <w:br/>
        <w:t xml:space="preserve">    TransformedLocation transform(</w:t>
        <w:br/>
        <w:t xml:space="preserve">        RawLocation location,</w:t>
        <w:br/>
        <w:t xml:space="preserve">        PolicyDecision decision,</w:t>
        <w:br/>
        <w:t xml:space="preserve">        TransformationContext context</w:t>
        <w:br/>
        <w:t xml:space="preserve">    );</w:t>
        <w:br/>
        <w:t>}</w:t>
      </w:r>
    </w:p>
    <w:p>
      <w:r>
        <w:rPr>
          <w:b w:val="0"/>
        </w:rPr>
        <w:t>The transformation engine returns a new representation and must not mutate provider-owned objects in place.</w:t>
      </w:r>
    </w:p>
    <w:p>
      <w:pPr>
        <w:pStyle w:val="Heading1"/>
      </w:pPr>
      <w:r>
        <w:t>19. Metadata Sanitizer API</w:t>
      </w:r>
    </w:p>
    <w:p>
      <w:pPr>
        <w:ind w:left="288"/>
      </w:pPr>
      <w:r>
        <w:rPr>
          <w:rFonts w:ascii="Consolas" w:hAnsi="Consolas"/>
          <w:sz w:val="17"/>
        </w:rPr>
        <w:t>interface MetadataSanitizer {</w:t>
        <w:br/>
        <w:t xml:space="preserve">    SanitizedLocation sanitize(</w:t>
        <w:br/>
        <w:t xml:space="preserve">        TransformedLocation location,</w:t>
        <w:br/>
        <w:t xml:space="preserve">        MetadataPolicy policy</w:t>
        <w:br/>
        <w:t xml:space="preserve">    );</w:t>
        <w:br/>
        <w:t>}</w:t>
      </w:r>
    </w:p>
    <w:p>
      <w:r>
        <w:rPr>
          <w:b w:val="0"/>
        </w:rPr>
        <w:t>Sanitization occurs after spatial transformation so metadata remains consistent with the final precision.</w:t>
      </w:r>
    </w:p>
    <w:p>
      <w:pPr>
        <w:pStyle w:val="Heading1"/>
      </w:pPr>
      <w:r>
        <w:t>20. Temporal Controller</w:t>
      </w:r>
    </w:p>
    <w:p>
      <w:pPr>
        <w:ind w:left="288"/>
      </w:pPr>
      <w:r>
        <w:rPr>
          <w:rFonts w:ascii="Consolas" w:hAnsi="Consolas"/>
          <w:sz w:val="17"/>
        </w:rPr>
        <w:t>interface TemporalController {</w:t>
        <w:br/>
        <w:t xml:space="preserve">    TemporalDecision evaluate(</w:t>
        <w:br/>
        <w:t xml:space="preserve">        ApplicationIdentity identity,</w:t>
        <w:br/>
        <w:t xml:space="preserve">        TemporalPolicy policy,</w:t>
        <w:br/>
        <w:t xml:space="preserve">        long nowElapsedRealtimeNanos</w:t>
        <w:br/>
        <w:t xml:space="preserve">    );</w:t>
        <w:br/>
        <w:br/>
        <w:t xml:space="preserve">    void recordDelivery(</w:t>
        <w:br/>
        <w:t xml:space="preserve">        ApplicationIdentity identity,</w:t>
        <w:br/>
        <w:t xml:space="preserve">        long deliveryElapsedRealtimeNanos</w:t>
        <w:br/>
        <w:t xml:space="preserve">    );</w:t>
        <w:br/>
        <w:t>}</w:t>
      </w:r>
    </w:p>
    <w:p>
      <w:r>
        <w:rPr>
          <w:b w:val="0"/>
        </w:rPr>
        <w:t>Elapsed realtime is preferred for interval enforcement so wall-clock changes cannot accidentally bypass frequency controls.</w:t>
      </w:r>
    </w:p>
    <w:p>
      <w:pPr>
        <w:pStyle w:val="Heading1"/>
      </w:pPr>
      <w:r>
        <w:t>21. Policy Store</w:t>
      </w:r>
    </w:p>
    <w:p>
      <w:pPr>
        <w:ind w:left="288"/>
      </w:pPr>
      <w:r>
        <w:rPr>
          <w:rFonts w:ascii="Consolas" w:hAnsi="Consolas"/>
          <w:sz w:val="17"/>
        </w:rPr>
        <w:t>interface PolicyStore {</w:t>
        <w:br/>
        <w:t xml:space="preserve">    AppPolicy get(ApplicationSelector selector);</w:t>
        <w:br/>
        <w:t xml:space="preserve">    List&lt;AppPolicy&gt; getAll(int userId);</w:t>
        <w:br/>
        <w:t xml:space="preserve">    TransactionResult put(AppPolicy policy);</w:t>
        <w:br/>
        <w:t xml:space="preserve">    TransactionResult delete(ApplicationSelector selector);</w:t>
        <w:br/>
        <w:t xml:space="preserve">    long getGeneration(int userId);</w:t>
        <w:br/>
        <w:t>}</w:t>
      </w:r>
    </w:p>
    <w:p>
      <w:r>
        <w:rPr>
          <w:b w:val="0"/>
        </w:rPr>
        <w:t>Persistent storage is off the hot path. The PolicyEngine consumes a validated in-memory snapshot or equivalent low-latency representation.</w:t>
      </w:r>
    </w:p>
    <w:p>
      <w:pPr>
        <w:pStyle w:val="Heading1"/>
      </w:pPr>
      <w:r>
        <w:t>22. Policy Update Transaction</w:t>
      </w:r>
    </w:p>
    <w:p>
      <w:pPr>
        <w:ind w:left="288"/>
      </w:pPr>
      <w:r>
        <w:rPr>
          <w:rFonts w:ascii="Consolas" w:hAnsi="Consolas"/>
          <w:sz w:val="17"/>
        </w:rPr>
        <w:t>Control APK</w:t>
        <w:br/>
        <w:t xml:space="preserve">   ↓ setPolicy()</w:t>
        <w:br/>
        <w:t>System Service</w:t>
        <w:br/>
        <w:t xml:space="preserve">   ↓ validate schema</w:t>
        <w:br/>
        <w:t xml:space="preserve">   ↓ validate package/user</w:t>
        <w:br/>
        <w:t xml:space="preserve">   ↓ validate values</w:t>
        <w:br/>
        <w:t xml:space="preserve">   ↓ compile policy</w:t>
        <w:br/>
        <w:t xml:space="preserve">   ↓ persist atomically</w:t>
        <w:br/>
        <w:t xml:space="preserve">   ↓ publish immutable snapshot</w:t>
        <w:br/>
        <w:t xml:space="preserve">   ↓ acknowledge</w:t>
        <w:br/>
        <w:t>Control APK</w:t>
      </w:r>
    </w:p>
    <w:p>
      <w:r>
        <w:rPr>
          <w:b w:val="0"/>
        </w:rPr>
        <w:t>A partially written policy must never become active.</w:t>
      </w:r>
    </w:p>
    <w:p>
      <w:pPr>
        <w:pStyle w:val="Heading1"/>
      </w:pPr>
      <w:r>
        <w:t>23. Policy Validation</w:t>
      </w:r>
    </w:p>
    <w:p>
      <w:pPr>
        <w:pStyle w:val="ListBullet"/>
      </w:pPr>
      <w:r>
        <w:t>Package resolves for the specified Android user.</w:t>
      </w:r>
    </w:p>
    <w:p>
      <w:pPr>
        <w:pStyle w:val="ListBullet"/>
      </w:pPr>
      <w:r>
        <w:t>Radius/grid values are within implementation-defined bounds.</w:t>
      </w:r>
    </w:p>
    <w:p>
      <w:pPr>
        <w:pStyle w:val="ListBullet"/>
      </w:pPr>
      <w:r>
        <w:t>Intervals cannot overflow internal time calculations.</w:t>
      </w:r>
    </w:p>
    <w:p>
      <w:pPr>
        <w:pStyle w:val="ListBullet"/>
      </w:pPr>
      <w:r>
        <w:t>Expiration is later than creation when present.</w:t>
      </w:r>
    </w:p>
    <w:p>
      <w:pPr>
        <w:pStyle w:val="ListBullet"/>
      </w:pPr>
      <w:r>
        <w:t>Contradictory fields are rejected.</w:t>
      </w:r>
    </w:p>
    <w:p>
      <w:pPr>
        <w:pStyle w:val="ListBullet"/>
      </w:pPr>
      <w:r>
        <w:t>Unsupported schema versions are rejected.</w:t>
      </w:r>
    </w:p>
    <w:p>
      <w:pPr>
        <w:pStyle w:val="ListBullet"/>
      </w:pPr>
      <w:r>
        <w:t>Unknown enum values are rejected.</w:t>
      </w:r>
    </w:p>
    <w:p>
      <w:pPr>
        <w:pStyle w:val="ListBullet"/>
      </w:pPr>
      <w:r>
        <w:t>DENY does not require a transformation radius.</w:t>
      </w:r>
    </w:p>
    <w:p>
      <w:pPr>
        <w:pStyle w:val="ListBullet"/>
      </w:pPr>
      <w:r>
        <w:t>Android authorization cannot be weakened by LocShield fields.</w:t>
      </w:r>
    </w:p>
    <w:p>
      <w:pPr>
        <w:pStyle w:val="Heading1"/>
      </w:pPr>
      <w:r>
        <w:t>24. Binder Permission Model</w:t>
      </w:r>
    </w:p>
    <w:tbl>
      <w:tblPr>
        <w:tblStyle w:val="TableGrid"/>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Authority</w:t>
            </w:r>
          </w:p>
        </w:tc>
      </w:tr>
      <w:tr>
        <w:tc>
          <w:tcPr>
            <w:tcW w:type="dxa" w:w="4968"/>
          </w:tcPr>
          <w:p>
            <w:r>
              <w:t>Read own policy</w:t>
            </w:r>
          </w:p>
        </w:tc>
        <w:tc>
          <w:tcPr>
            <w:tcW w:type="dxa" w:w="4968"/>
          </w:tcPr>
          <w:p>
            <w:r>
              <w:t>LocShield policy permission + validated caller</w:t>
            </w:r>
          </w:p>
        </w:tc>
      </w:tr>
      <w:tr>
        <w:tc>
          <w:tcPr>
            <w:tcW w:type="dxa" w:w="4968"/>
          </w:tcPr>
          <w:p>
            <w:r>
              <w:t>Modify own policy</w:t>
            </w:r>
          </w:p>
        </w:tc>
        <w:tc>
          <w:tcPr>
            <w:tcW w:type="dxa" w:w="4968"/>
          </w:tcPr>
          <w:p>
            <w:r>
              <w:t>LocShield policy permission + validated caller</w:t>
            </w:r>
          </w:p>
        </w:tc>
      </w:tr>
      <w:tr>
        <w:tc>
          <w:tcPr>
            <w:tcW w:type="dxa" w:w="4968"/>
          </w:tcPr>
          <w:p>
            <w:r>
              <w:t>Modify another app's policy</w:t>
            </w:r>
          </w:p>
        </w:tc>
        <w:tc>
          <w:tcPr>
            <w:tcW w:type="dxa" w:w="4968"/>
          </w:tcPr>
          <w:p>
            <w:r>
              <w:t>Privileged administrative permission</w:t>
            </w:r>
          </w:p>
        </w:tc>
      </w:tr>
      <w:tr>
        <w:tc>
          <w:tcPr>
            <w:tcW w:type="dxa" w:w="4968"/>
          </w:tcPr>
          <w:p>
            <w:r>
              <w:t>Preview own policy</w:t>
            </w:r>
          </w:p>
        </w:tc>
        <w:tc>
          <w:tcPr>
            <w:tcW w:type="dxa" w:w="4968"/>
          </w:tcPr>
          <w:p>
            <w:r>
              <w:t>Own-policy authority</w:t>
            </w:r>
          </w:p>
        </w:tc>
      </w:tr>
      <w:tr>
        <w:tc>
          <w:tcPr>
            <w:tcW w:type="dxa" w:w="4968"/>
          </w:tcPr>
          <w:p>
            <w:r>
              <w:t>System diagnostics</w:t>
            </w:r>
          </w:p>
        </w:tc>
        <w:tc>
          <w:tcPr>
            <w:tcW w:type="dxa" w:w="4968"/>
          </w:tcPr>
          <w:p>
            <w:r>
              <w:t>Privileged/system-only</w:t>
            </w:r>
          </w:p>
        </w:tc>
      </w:tr>
      <w:tr>
        <w:tc>
          <w:tcPr>
            <w:tcW w:type="dxa" w:w="4968"/>
          </w:tcPr>
          <w:p>
            <w:r>
              <w:t>Internal enforcement API</w:t>
            </w:r>
          </w:p>
        </w:tc>
        <w:tc>
          <w:tcPr>
            <w:tcW w:type="dxa" w:w="4968"/>
          </w:tcPr>
          <w:p>
            <w:r>
              <w:t>In-process only</w:t>
            </w:r>
          </w:p>
        </w:tc>
      </w:tr>
    </w:tbl>
    <w:p>
      <w:r>
        <w:rPr>
          <w:b w:val="0"/>
        </w:rPr>
        <w:t>Exact manifest permission names will be frozen during AOSP integration.</w:t>
      </w:r>
    </w:p>
    <w:p>
      <w:pPr>
        <w:pStyle w:val="Heading1"/>
      </w:pPr>
      <w:r>
        <w:t>25. Service Lifecycle</w:t>
      </w:r>
    </w:p>
    <w:p>
      <w:pPr>
        <w:ind w:left="288"/>
      </w:pPr>
      <w:r>
        <w:rPr>
          <w:rFonts w:ascii="Consolas" w:hAnsi="Consolas"/>
          <w:sz w:val="17"/>
        </w:rPr>
        <w:t>BOOT</w:t>
        <w:br/>
        <w:t xml:space="preserve"> ↓</w:t>
        <w:br/>
        <w:t>Service construction</w:t>
        <w:br/>
        <w:t xml:space="preserve"> ↓</w:t>
        <w:br/>
        <w:t>Policy store load</w:t>
        <w:br/>
        <w:t xml:space="preserve"> ↓</w:t>
        <w:br/>
        <w:t>Schema validation</w:t>
        <w:br/>
        <w:t xml:space="preserve"> ↓</w:t>
        <w:br/>
        <w:t>Snapshot compilation</w:t>
        <w:br/>
        <w:t xml:space="preserve"> ↓</w:t>
        <w:br/>
        <w:t>Publish engine</w:t>
        <w:br/>
        <w:t xml:space="preserve"> ↓</w:t>
        <w:br/>
        <w:t>READY</w:t>
        <w:br/>
        <w:br/>
        <w:t>Failure → DEGRADED / safe LocShield behavior</w:t>
      </w:r>
    </w:p>
    <w:p>
      <w:pPr>
        <w:pStyle w:val="Heading1"/>
      </w:pPr>
      <w:r>
        <w:t>26. Failure Semantics</w:t>
      </w:r>
    </w:p>
    <w:tbl>
      <w:tblPr>
        <w:tblStyle w:val="TableGrid"/>
        <w:tblW w:type="auto" w:w="0"/>
        <w:tblLook w:firstColumn="1" w:firstRow="1" w:lastColumn="0" w:lastRow="0" w:noHBand="0" w:noVBand="1" w:val="04A0"/>
      </w:tblPr>
      <w:tblGrid>
        <w:gridCol w:w="4968"/>
        <w:gridCol w:w="4968"/>
      </w:tblGrid>
      <w:tr>
        <w:tc>
          <w:tcPr>
            <w:tcW w:type="dxa" w:w="4968"/>
          </w:tcPr>
          <w:p>
            <w:r>
              <w:t>Failure</w:t>
            </w:r>
          </w:p>
        </w:tc>
        <w:tc>
          <w:tcPr>
            <w:tcW w:type="dxa" w:w="4968"/>
          </w:tcPr>
          <w:p>
            <w:r>
              <w:t>Required behavior</w:t>
            </w:r>
          </w:p>
        </w:tc>
      </w:tr>
      <w:tr>
        <w:tc>
          <w:tcPr>
            <w:tcW w:type="dxa" w:w="4968"/>
          </w:tcPr>
          <w:p>
            <w:r>
              <w:t>Policy missing</w:t>
            </w:r>
          </w:p>
        </w:tc>
        <w:tc>
          <w:tcPr>
            <w:tcW w:type="dxa" w:w="4968"/>
          </w:tcPr>
          <w:p>
            <w:r>
              <w:t>Use explicit default; never silently grant extra precision.</w:t>
            </w:r>
          </w:p>
        </w:tc>
      </w:tr>
      <w:tr>
        <w:tc>
          <w:tcPr>
            <w:tcW w:type="dxa" w:w="4968"/>
          </w:tcPr>
          <w:p>
            <w:r>
              <w:t>Malformed policy</w:t>
            </w:r>
          </w:p>
        </w:tc>
        <w:tc>
          <w:tcPr>
            <w:tcW w:type="dxa" w:w="4968"/>
          </w:tcPr>
          <w:p>
            <w:r>
              <w:t>Reject update; retain last valid policy.</w:t>
            </w:r>
          </w:p>
        </w:tc>
      </w:tr>
      <w:tr>
        <w:tc>
          <w:tcPr>
            <w:tcW w:type="dxa" w:w="4968"/>
          </w:tcPr>
          <w:p>
            <w:r>
              <w:t>Policy engine exception</w:t>
            </w:r>
          </w:p>
        </w:tc>
        <w:tc>
          <w:tcPr>
            <w:tcW w:type="dxa" w:w="4968"/>
          </w:tcPr>
          <w:p>
            <w:r>
              <w:t>Fail closed for the controlled operation.</w:t>
            </w:r>
          </w:p>
        </w:tc>
      </w:tr>
      <w:tr>
        <w:tc>
          <w:tcPr>
            <w:tcW w:type="dxa" w:w="4968"/>
          </w:tcPr>
          <w:p>
            <w:r>
              <w:t>Transformation failure</w:t>
            </w:r>
          </w:p>
        </w:tc>
        <w:tc>
          <w:tcPr>
            <w:tcW w:type="dxa" w:w="4968"/>
          </w:tcPr>
          <w:p>
            <w:r>
              <w:t>Do not release raw precise value.</w:t>
            </w:r>
          </w:p>
        </w:tc>
      </w:tr>
      <w:tr>
        <w:tc>
          <w:tcPr>
            <w:tcW w:type="dxa" w:w="4968"/>
          </w:tcPr>
          <w:p>
            <w:r>
              <w:t>Metadata failure</w:t>
            </w:r>
          </w:p>
        </w:tc>
        <w:tc>
          <w:tcPr>
            <w:tcW w:type="dxa" w:w="4968"/>
          </w:tcPr>
          <w:p>
            <w:r>
              <w:t>Do not release raw object.</w:t>
            </w:r>
          </w:p>
        </w:tc>
      </w:tr>
      <w:tr>
        <w:tc>
          <w:tcPr>
            <w:tcW w:type="dxa" w:w="4968"/>
          </w:tcPr>
          <w:p>
            <w:r>
              <w:t>Store unavailable during update</w:t>
            </w:r>
          </w:p>
        </w:tc>
        <w:tc>
          <w:tcPr>
            <w:tcW w:type="dxa" w:w="4968"/>
          </w:tcPr>
          <w:p>
            <w:r>
              <w:t>Reject update.</w:t>
            </w:r>
          </w:p>
        </w:tc>
      </w:tr>
      <w:tr>
        <w:tc>
          <w:tcPr>
            <w:tcW w:type="dxa" w:w="4968"/>
          </w:tcPr>
          <w:p>
            <w:r>
              <w:t>Service unavailable</w:t>
            </w:r>
          </w:p>
        </w:tc>
        <w:tc>
          <w:tcPr>
            <w:tcW w:type="dxa" w:w="4968"/>
          </w:tcPr>
          <w:p>
            <w:r>
              <w:t>Android authorization remains authoritative; no universal LocShield guarantee is claimed.</w:t>
            </w:r>
          </w:p>
        </w:tc>
      </w:tr>
    </w:tbl>
    <w:p>
      <w:pPr>
        <w:pStyle w:val="Heading1"/>
      </w:pPr>
      <w:r>
        <w:t>27. Effective Policy</w:t>
      </w:r>
    </w:p>
    <w:p>
      <w:pPr>
        <w:ind w:left="288"/>
      </w:pPr>
      <w:r>
        <w:rPr>
          <w:rFonts w:ascii="Consolas" w:hAnsi="Consolas"/>
          <w:sz w:val="17"/>
        </w:rPr>
        <w:t>resolve(identity, context):</w:t>
        <w:br/>
        <w:t xml:space="preserve">    explicit = policyStore.lookup(identity)</w:t>
        <w:br/>
        <w:t xml:space="preserve">    default  = policyStore.lookupDefault(userId)</w:t>
        <w:br/>
        <w:br/>
        <w:t xml:space="preserve">    policy = explicit if explicit exists else default</w:t>
        <w:br/>
        <w:t xml:space="preserve">    policy = intersectWithAndroidAuthorization(policy, context)</w:t>
        <w:br/>
        <w:t xml:space="preserve">    policy = applyExpiration(policy)</w:t>
        <w:br/>
        <w:br/>
        <w:t xml:space="preserve">    return policy</w:t>
      </w:r>
    </w:p>
    <w:p>
      <w:r>
        <w:rPr>
          <w:b w:val="0"/>
        </w:rPr>
        <w:t>Android authorization is always the ceiling; LocShield can preserve or reduce access.</w:t>
      </w:r>
    </w:p>
    <w:p>
      <w:pPr>
        <w:pStyle w:val="Heading1"/>
      </w:pPr>
      <w:r>
        <w:t>28. EffectivePolicy</w:t>
      </w:r>
    </w:p>
    <w:p>
      <w:pPr>
        <w:ind w:left="288"/>
      </w:pPr>
      <w:r>
        <w:rPr>
          <w:rFonts w:ascii="Consolas" w:hAnsi="Consolas"/>
          <w:sz w:val="17"/>
        </w:rPr>
        <w:t>EffectivePolicy {</w:t>
        <w:br/>
        <w:t xml:space="preserve">    spatial</w:t>
        <w:br/>
        <w:t xml:space="preserve">    temporal</w:t>
        <w:br/>
        <w:t xml:space="preserve">    background</w:t>
        <w:br/>
        <w:t xml:space="preserve">    metadata</w:t>
        <w:br/>
        <w:t xml:space="preserve">    randomization</w:t>
        <w:br/>
        <w:t xml:space="preserve">    androidAuthorizationCeiling</w:t>
        <w:br/>
        <w:t xml:space="preserve">    policyGeneration</w:t>
        <w:br/>
        <w:t xml:space="preserve">    resolvedAtElapsedRealtimeNanos</w:t>
        <w:br/>
        <w:t>}</w:t>
      </w:r>
    </w:p>
    <w:p>
      <w:pPr>
        <w:pStyle w:val="Heading1"/>
      </w:pPr>
      <w:r>
        <w:t>29. Policy Generation</w:t>
      </w:r>
    </w:p>
    <w:p>
      <w:r>
        <w:rPr>
          <w:b w:val="0"/>
        </w:rPr>
        <w:t>Every committed state receives a monotonically increasing generation number. Delivery decisions reference the current generation.</w:t>
      </w:r>
    </w:p>
    <w:p>
      <w:pPr>
        <w:ind w:left="288"/>
      </w:pPr>
      <w:r>
        <w:rPr>
          <w:rFonts w:ascii="Consolas" w:hAnsi="Consolas"/>
          <w:sz w:val="17"/>
        </w:rPr>
        <w:t>100 → old policy</w:t>
        <w:br/>
        <w:t>101 → new policy</w:t>
        <w:br/>
        <w:br/>
        <w:t>Next delivery → evaluate 101</w:t>
      </w:r>
    </w:p>
    <w:p>
      <w:pPr>
        <w:pStyle w:val="Heading1"/>
      </w:pPr>
      <w:r>
        <w:t>30. Audit API</w:t>
      </w:r>
    </w:p>
    <w:p>
      <w:pPr>
        <w:ind w:left="288"/>
      </w:pPr>
      <w:r>
        <w:rPr>
          <w:rFonts w:ascii="Consolas" w:hAnsi="Consolas"/>
          <w:sz w:val="17"/>
        </w:rPr>
        <w:t>AuditEvent {</w:t>
        <w:br/>
        <w:t xml:space="preserve">    timestamp</w:t>
        <w:br/>
        <w:t xml:space="preserve">    uid</w:t>
        <w:br/>
        <w:t xml:space="preserve">    packageName</w:t>
        <w:br/>
        <w:t xml:space="preserve">    requestType</w:t>
        <w:br/>
        <w:t xml:space="preserve">    decision</w:t>
        <w:br/>
        <w:t xml:space="preserve">    policyGeneration</w:t>
        <w:br/>
        <w:t xml:space="preserve">    reasonCode</w:t>
        <w:br/>
        <w:t xml:space="preserve">    sourceClass</w:t>
        <w:br/>
        <w:t>}</w:t>
      </w:r>
    </w:p>
    <w:p>
      <w:r>
        <w:rPr>
          <w:b w:val="0"/>
        </w:rPr>
        <w:t>Default audit records should avoid latitude/longitude. Research builds may use controlled, redacted telemetry.</w:t>
      </w:r>
    </w:p>
    <w:p>
      <w:pPr>
        <w:pStyle w:val="Heading1"/>
      </w:pPr>
      <w:r>
        <w:t>31. Preview API</w:t>
      </w:r>
    </w:p>
    <w:p>
      <w:pPr>
        <w:ind w:left="288"/>
      </w:pPr>
      <w:r>
        <w:rPr>
          <w:rFonts w:ascii="Consolas" w:hAnsi="Consolas"/>
          <w:sz w:val="17"/>
        </w:rPr>
        <w:t>PolicyPreviewRequest {</w:t>
        <w:br/>
        <w:t xml:space="preserve">    packageName</w:t>
        <w:br/>
        <w:t xml:space="preserve">    userId</w:t>
        <w:br/>
        <w:t xml:space="preserve">    requestType</w:t>
        <w:br/>
        <w:t xml:space="preserve">    hypotheticalPrecision</w:t>
        <w:br/>
        <w:t xml:space="preserve">    hypotheticalForegroundState</w:t>
        <w:br/>
        <w:t>}</w:t>
      </w:r>
    </w:p>
    <w:p>
      <w:r>
        <w:rPr>
          <w:b w:val="0"/>
        </w:rPr>
        <w:t>Preview never returns a live location and must not become a side-channel for querying another application's location.</w:t>
      </w:r>
    </w:p>
    <w:p>
      <w:pPr>
        <w:pStyle w:val="Heading1"/>
      </w:pPr>
      <w:r>
        <w:t>32. API Versioning</w:t>
      </w:r>
    </w:p>
    <w:tbl>
      <w:tblPr>
        <w:tblStyle w:val="TableGrid"/>
        <w:tblW w:type="auto" w:w="0"/>
        <w:tblLook w:firstColumn="1" w:firstRow="1" w:lastColumn="0" w:lastRow="0" w:noHBand="0" w:noVBand="1" w:val="04A0"/>
      </w:tblPr>
      <w:tblGrid>
        <w:gridCol w:w="4968"/>
        <w:gridCol w:w="4968"/>
      </w:tblGrid>
      <w:tr>
        <w:tc>
          <w:tcPr>
            <w:tcW w:type="dxa" w:w="4968"/>
          </w:tcPr>
          <w:p>
            <w:r>
              <w:t>Rule</w:t>
            </w:r>
          </w:p>
        </w:tc>
        <w:tc>
          <w:tcPr>
            <w:tcW w:type="dxa" w:w="4968"/>
          </w:tcPr>
          <w:p>
            <w:r>
              <w:t>Specification</w:t>
            </w:r>
          </w:p>
        </w:tc>
      </w:tr>
      <w:tr>
        <w:tc>
          <w:tcPr>
            <w:tcW w:type="dxa" w:w="4968"/>
          </w:tcPr>
          <w:p>
            <w:r>
              <w:t>Schema version</w:t>
            </w:r>
          </w:p>
        </w:tc>
        <w:tc>
          <w:tcPr>
            <w:tcW w:type="dxa" w:w="4968"/>
          </w:tcPr>
          <w:p>
            <w:r>
              <w:t>Integer; increment for incompatible serialized policy changes.</w:t>
            </w:r>
          </w:p>
        </w:tc>
      </w:tr>
      <w:tr>
        <w:tc>
          <w:tcPr>
            <w:tcW w:type="dxa" w:w="4968"/>
          </w:tcPr>
          <w:p>
            <w:r>
              <w:t>Binder compatibility</w:t>
            </w:r>
          </w:p>
        </w:tc>
        <w:tc>
          <w:tcPr>
            <w:tcW w:type="dxa" w:w="4968"/>
          </w:tcPr>
          <w:p>
            <w:r>
              <w:t>New methods may be added without changing existing semantics.</w:t>
            </w:r>
          </w:p>
        </w:tc>
      </w:tr>
      <w:tr>
        <w:tc>
          <w:tcPr>
            <w:tcW w:type="dxa" w:w="4968"/>
          </w:tcPr>
          <w:p>
            <w:r>
              <w:t>Enum evolution</w:t>
            </w:r>
          </w:p>
        </w:tc>
        <w:tc>
          <w:tcPr>
            <w:tcW w:type="dxa" w:w="4968"/>
          </w:tcPr>
          <w:p>
            <w:r>
              <w:t>Unknown values rejected by older implementations.</w:t>
            </w:r>
          </w:p>
        </w:tc>
      </w:tr>
      <w:tr>
        <w:tc>
          <w:tcPr>
            <w:tcW w:type="dxa" w:w="4968"/>
          </w:tcPr>
          <w:p>
            <w:r>
              <w:t>Policy migration</w:t>
            </w:r>
          </w:p>
        </w:tc>
        <w:tc>
          <w:tcPr>
            <w:tcW w:type="dxa" w:w="4968"/>
          </w:tcPr>
          <w:p>
            <w:r>
              <w:t>Transactional before activation.</w:t>
            </w:r>
          </w:p>
        </w:tc>
      </w:tr>
      <w:tr>
        <w:tc>
          <w:tcPr>
            <w:tcW w:type="dxa" w:w="4968"/>
          </w:tcPr>
          <w:p>
            <w:r>
              <w:t>Internal APIs</w:t>
            </w:r>
          </w:p>
        </w:tc>
        <w:tc>
          <w:tcPr>
            <w:tcW w:type="dxa" w:w="4968"/>
          </w:tcPr>
          <w:p>
            <w:r>
              <w:t>Can evolve with the system build.</w:t>
            </w:r>
          </w:p>
        </w:tc>
      </w:tr>
    </w:tbl>
    <w:p>
      <w:pPr>
        <w:pStyle w:val="Heading1"/>
      </w:pPr>
      <w:r>
        <w:t>33. Threading Model</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Rule</w:t>
            </w:r>
          </w:p>
        </w:tc>
      </w:tr>
      <w:tr>
        <w:tc>
          <w:tcPr>
            <w:tcW w:type="dxa" w:w="4968"/>
          </w:tcPr>
          <w:p>
            <w:r>
              <w:t>Control APK</w:t>
            </w:r>
          </w:p>
        </w:tc>
        <w:tc>
          <w:tcPr>
            <w:tcW w:type="dxa" w:w="4968"/>
          </w:tcPr>
          <w:p>
            <w:r>
              <w:t>Normal Binder/client threads</w:t>
            </w:r>
          </w:p>
        </w:tc>
      </w:tr>
      <w:tr>
        <w:tc>
          <w:tcPr>
            <w:tcW w:type="dxa" w:w="4968"/>
          </w:tcPr>
          <w:p>
            <w:r>
              <w:t>System service</w:t>
            </w:r>
          </w:p>
        </w:tc>
        <w:tc>
          <w:tcPr>
            <w:tcW w:type="dxa" w:w="4968"/>
          </w:tcPr>
          <w:p>
            <w:r>
              <w:t>Service/Binder context</w:t>
            </w:r>
          </w:p>
        </w:tc>
      </w:tr>
      <w:tr>
        <w:tc>
          <w:tcPr>
            <w:tcW w:type="dxa" w:w="4968"/>
          </w:tcPr>
          <w:p>
            <w:r>
              <w:t>PolicyEngine</w:t>
            </w:r>
          </w:p>
        </w:tc>
        <w:tc>
          <w:tcPr>
            <w:tcW w:type="dxa" w:w="4968"/>
          </w:tcPr>
          <w:p>
            <w:r>
              <w:t>Lock-minimized; no blocking I/O</w:t>
            </w:r>
          </w:p>
        </w:tc>
      </w:tr>
      <w:tr>
        <w:tc>
          <w:tcPr>
            <w:tcW w:type="dxa" w:w="4968"/>
          </w:tcPr>
          <w:p>
            <w:r>
              <w:t>TransformationEngine</w:t>
            </w:r>
          </w:p>
        </w:tc>
        <w:tc>
          <w:tcPr>
            <w:tcW w:type="dxa" w:w="4968"/>
          </w:tcPr>
          <w:p>
            <w:r>
              <w:t>Synchronous, bounded CPU</w:t>
            </w:r>
          </w:p>
        </w:tc>
      </w:tr>
      <w:tr>
        <w:tc>
          <w:tcPr>
            <w:tcW w:type="dxa" w:w="4968"/>
          </w:tcPr>
          <w:p>
            <w:r>
              <w:t>PolicyStore writes</w:t>
            </w:r>
          </w:p>
        </w:tc>
        <w:tc>
          <w:tcPr>
            <w:tcW w:type="dxa" w:w="4968"/>
          </w:tcPr>
          <w:p>
            <w:r>
              <w:t>Serialized/background</w:t>
            </w:r>
          </w:p>
        </w:tc>
      </w:tr>
      <w:tr>
        <w:tc>
          <w:tcPr>
            <w:tcW w:type="dxa" w:w="4968"/>
          </w:tcPr>
          <w:p>
            <w:r>
              <w:t>Audit persistence</w:t>
            </w:r>
          </w:p>
        </w:tc>
        <w:tc>
          <w:tcPr>
            <w:tcW w:type="dxa" w:w="4968"/>
          </w:tcPr>
          <w:p>
            <w:r>
              <w:t>Asynchronous where practical</w:t>
            </w:r>
          </w:p>
        </w:tc>
      </w:tr>
    </w:tbl>
    <w:p>
      <w:pPr>
        <w:pStyle w:val="Heading1"/>
      </w:pPr>
      <w:r>
        <w:t>34. Performance Targets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V1 target</w:t>
            </w:r>
          </w:p>
        </w:tc>
      </w:tr>
      <w:tr>
        <w:tc>
          <w:tcPr>
            <w:tcW w:type="dxa" w:w="4968"/>
          </w:tcPr>
          <w:p>
            <w:r>
              <w:t>Steady-state policy lookup</w:t>
            </w:r>
          </w:p>
        </w:tc>
        <w:tc>
          <w:tcPr>
            <w:tcW w:type="dxa" w:w="4968"/>
          </w:tcPr>
          <w:p>
            <w:r>
              <w:t>Sub-millisecond target</w:t>
            </w:r>
          </w:p>
        </w:tc>
      </w:tr>
      <w:tr>
        <w:tc>
          <w:tcPr>
            <w:tcW w:type="dxa" w:w="4968"/>
          </w:tcPr>
          <w:p>
            <w:r>
              <w:t>Transformation</w:t>
            </w:r>
          </w:p>
        </w:tc>
        <w:tc>
          <w:tcPr>
            <w:tcW w:type="dxa" w:w="4968"/>
          </w:tcPr>
          <w:p>
            <w:r>
              <w:t>Bounded CPU</w:t>
            </w:r>
          </w:p>
        </w:tc>
      </w:tr>
      <w:tr>
        <w:tc>
          <w:tcPr>
            <w:tcW w:type="dxa" w:w="4968"/>
          </w:tcPr>
          <w:p>
            <w:r>
              <w:t>Metadata sanitization</w:t>
            </w:r>
          </w:p>
        </w:tc>
        <w:tc>
          <w:tcPr>
            <w:tcW w:type="dxa" w:w="4968"/>
          </w:tcPr>
          <w:p>
            <w:r>
              <w:t>O(1) over known fields</w:t>
            </w:r>
          </w:p>
        </w:tc>
      </w:tr>
      <w:tr>
        <w:tc>
          <w:tcPr>
            <w:tcW w:type="dxa" w:w="4968"/>
          </w:tcPr>
          <w:p>
            <w:r>
              <w:t>Policy update</w:t>
            </w:r>
          </w:p>
        </w:tc>
        <w:tc>
          <w:tcPr>
            <w:tcW w:type="dxa" w:w="4968"/>
          </w:tcPr>
          <w:p>
            <w:r>
              <w:t>Never on location hot path</w:t>
            </w:r>
          </w:p>
        </w:tc>
      </w:tr>
      <w:tr>
        <w:tc>
          <w:tcPr>
            <w:tcW w:type="dxa" w:w="4968"/>
          </w:tcPr>
          <w:p>
            <w:r>
              <w:t>Audit</w:t>
            </w:r>
          </w:p>
        </w:tc>
        <w:tc>
          <w:tcPr>
            <w:tcW w:type="dxa" w:w="4968"/>
          </w:tcPr>
          <w:p>
            <w:r>
              <w:t>Non-blocking where practical</w:t>
            </w:r>
          </w:p>
        </w:tc>
      </w:tr>
    </w:tbl>
    <w:p>
      <w:r>
        <w:rPr>
          <w:b w:val="0"/>
        </w:rPr>
        <w:t>These are engineering targets and require benchmarking.</w:t>
      </w:r>
    </w:p>
    <w:p>
      <w:pPr>
        <w:pStyle w:val="Heading1"/>
      </w:pPr>
      <w:r>
        <w:t>35. Trust Boundaries</w:t>
      </w:r>
    </w:p>
    <w:p>
      <w:pPr>
        <w:ind w:left="288"/>
      </w:pPr>
      <w:r>
        <w:rPr>
          <w:rFonts w:ascii="Consolas" w:hAnsi="Consolas"/>
          <w:sz w:val="17"/>
        </w:rPr>
        <w:t>UNTRUSTED</w:t>
        <w:br/>
        <w:t>Applications</w:t>
        <w:br/>
        <w:t xml:space="preserve">    │ Binder</w:t>
        <w:br/>
        <w:t xml:space="preserve">    ▼</w:t>
        <w:br/>
        <w:t>TRUSTED</w:t>
        <w:br/>
        <w:t>system_server / LocShieldManagerService</w:t>
        <w:br/>
        <w:t xml:space="preserve">    ├─ PolicyStore</w:t>
        <w:br/>
        <w:t xml:space="preserve">    ├─ PolicyEngine</w:t>
        <w:br/>
        <w:t xml:space="preserve">    ├─ TransformationEngine</w:t>
        <w:br/>
        <w:t xml:space="preserve">    └─ EnforcementAdapters</w:t>
        <w:br/>
        <w:t xml:space="preserve">    │</w:t>
        <w:br/>
        <w:t xml:space="preserve">    ▼</w:t>
        <w:br/>
        <w:t>Android location providers</w:t>
        <w:br/>
        <w:br/>
        <w:t>CONDITIONAL TRUST</w:t>
        <w:br/>
        <w:t>Google Play services</w:t>
        <w:br/>
        <w:t>OEM/provider implementations</w:t>
      </w:r>
    </w:p>
    <w:p>
      <w:pPr>
        <w:pStyle w:val="Heading1"/>
      </w:pPr>
      <w:r>
        <w:t>36. AIDL vs Internal API</w:t>
      </w:r>
    </w:p>
    <w:tbl>
      <w:tblPr>
        <w:tblStyle w:val="TableGrid"/>
        <w:tblW w:type="auto" w:w="0"/>
        <w:tblLook w:firstColumn="1" w:firstRow="1" w:lastColumn="0" w:lastRow="0" w:noHBand="0" w:noVBand="1" w:val="04A0"/>
      </w:tblPr>
      <w:tblGrid>
        <w:gridCol w:w="4968"/>
        <w:gridCol w:w="4968"/>
      </w:tblGrid>
      <w:tr>
        <w:tc>
          <w:tcPr>
            <w:tcW w:type="dxa" w:w="4968"/>
          </w:tcPr>
          <w:p>
            <w:r>
              <w:t>Boundary</w:t>
            </w:r>
          </w:p>
        </w:tc>
        <w:tc>
          <w:tcPr>
            <w:tcW w:type="dxa" w:w="4968"/>
          </w:tcPr>
          <w:p>
            <w:r>
              <w:t>Technology</w:t>
            </w:r>
          </w:p>
        </w:tc>
      </w:tr>
      <w:tr>
        <w:tc>
          <w:tcPr>
            <w:tcW w:type="dxa" w:w="4968"/>
          </w:tcPr>
          <w:p>
            <w:r>
              <w:t>Control APK ↔ system service</w:t>
            </w:r>
          </w:p>
        </w:tc>
        <w:tc>
          <w:tcPr>
            <w:tcW w:type="dxa" w:w="4968"/>
          </w:tcPr>
          <w:p>
            <w:r>
              <w:t>AIDL/Binder</w:t>
            </w:r>
          </w:p>
        </w:tc>
      </w:tr>
      <w:tr>
        <w:tc>
          <w:tcPr>
            <w:tcW w:type="dxa" w:w="4968"/>
          </w:tcPr>
          <w:p>
            <w:r>
              <w:t>System service ↔ PolicyEngine</w:t>
            </w:r>
          </w:p>
        </w:tc>
        <w:tc>
          <w:tcPr>
            <w:tcW w:type="dxa" w:w="4968"/>
          </w:tcPr>
          <w:p>
            <w:r>
              <w:t>In-process</w:t>
            </w:r>
          </w:p>
        </w:tc>
      </w:tr>
      <w:tr>
        <w:tc>
          <w:tcPr>
            <w:tcW w:type="dxa" w:w="4968"/>
          </w:tcPr>
          <w:p>
            <w:r>
              <w:t>PolicyEngine ↔ TransformationEngine</w:t>
            </w:r>
          </w:p>
        </w:tc>
        <w:tc>
          <w:tcPr>
            <w:tcW w:type="dxa" w:w="4968"/>
          </w:tcPr>
          <w:p>
            <w:r>
              <w:t>In-process</w:t>
            </w:r>
          </w:p>
        </w:tc>
      </w:tr>
      <w:tr>
        <w:tc>
          <w:tcPr>
            <w:tcW w:type="dxa" w:w="4968"/>
          </w:tcPr>
          <w:p>
            <w:r>
              <w:t>PolicyEngine ↔ TemporalController</w:t>
            </w:r>
          </w:p>
        </w:tc>
        <w:tc>
          <w:tcPr>
            <w:tcW w:type="dxa" w:w="4968"/>
          </w:tcPr>
          <w:p>
            <w:r>
              <w:t>In-process</w:t>
            </w:r>
          </w:p>
        </w:tc>
      </w:tr>
      <w:tr>
        <w:tc>
          <w:tcPr>
            <w:tcW w:type="dxa" w:w="4968"/>
          </w:tcPr>
          <w:p>
            <w:r>
              <w:t>PolicyStore ↔ service</w:t>
            </w:r>
          </w:p>
        </w:tc>
        <w:tc>
          <w:tcPr>
            <w:tcW w:type="dxa" w:w="4968"/>
          </w:tcPr>
          <w:p>
            <w:r>
              <w:t>In-process</w:t>
            </w:r>
          </w:p>
        </w:tc>
      </w:tr>
      <w:tr>
        <w:tc>
          <w:tcPr>
            <w:tcW w:type="dxa" w:w="4968"/>
          </w:tcPr>
          <w:p>
            <w:r>
              <w:t>Provider ↔ enforcement adapter</w:t>
            </w:r>
          </w:p>
        </w:tc>
        <w:tc>
          <w:tcPr>
            <w:tcW w:type="dxa" w:w="4968"/>
          </w:tcPr>
          <w:p>
            <w:r>
              <w:t>Framework-native/in-process</w:t>
            </w:r>
          </w:p>
        </w:tc>
      </w:tr>
    </w:tbl>
    <w:p>
      <w:r>
        <w:rPr>
          <w:b w:val="0"/>
        </w:rPr>
        <w:t>Do not introduce Binder between internal components without a real process boundary.</w:t>
      </w:r>
    </w:p>
    <w:p>
      <w:pPr>
        <w:pStyle w:val="Heading1"/>
      </w:pPr>
      <w:r>
        <w:t>37. Minimal V1 Contract</w:t>
      </w:r>
    </w:p>
    <w:p>
      <w:pPr>
        <w:pStyle w:val="ListNumber"/>
      </w:pPr>
      <w:r>
        <w:t>ILocShieldManager AIDL.</w:t>
      </w:r>
    </w:p>
    <w:p>
      <w:pPr>
        <w:pStyle w:val="ListNumber"/>
      </w:pPr>
      <w:r>
        <w:t>ApplicationSelector.</w:t>
      </w:r>
    </w:p>
    <w:p>
      <w:pPr>
        <w:pStyle w:val="ListNumber"/>
      </w:pPr>
      <w:r>
        <w:t>AppPolicy.</w:t>
      </w:r>
    </w:p>
    <w:p>
      <w:pPr>
        <w:pStyle w:val="ListNumber"/>
      </w:pPr>
      <w:r>
        <w:t>SpatialPolicy.</w:t>
      </w:r>
    </w:p>
    <w:p>
      <w:pPr>
        <w:pStyle w:val="ListNumber"/>
      </w:pPr>
      <w:r>
        <w:t>TemporalPolicy.</w:t>
      </w:r>
    </w:p>
    <w:p>
      <w:pPr>
        <w:pStyle w:val="ListNumber"/>
      </w:pPr>
      <w:r>
        <w:t>BackgroundPolicy.</w:t>
      </w:r>
    </w:p>
    <w:p>
      <w:pPr>
        <w:pStyle w:val="ListNumber"/>
      </w:pPr>
      <w:r>
        <w:t>MetadataPolicy.</w:t>
      </w:r>
    </w:p>
    <w:p>
      <w:pPr>
        <w:pStyle w:val="ListNumber"/>
      </w:pPr>
      <w:r>
        <w:t>RandomizationPolicy.</w:t>
      </w:r>
    </w:p>
    <w:p>
      <w:pPr>
        <w:pStyle w:val="ListNumber"/>
      </w:pPr>
      <w:r>
        <w:t>EffectivePolicy.</w:t>
      </w:r>
    </w:p>
    <w:p>
      <w:pPr>
        <w:pStyle w:val="ListNumber"/>
      </w:pPr>
      <w:r>
        <w:t>PolicyDecision.</w:t>
      </w:r>
    </w:p>
    <w:p>
      <w:pPr>
        <w:pStyle w:val="ListNumber"/>
      </w:pPr>
      <w:r>
        <w:t>ApplicationIdentity.</w:t>
      </w:r>
    </w:p>
    <w:p>
      <w:pPr>
        <w:pStyle w:val="ListNumber"/>
      </w:pPr>
      <w:r>
        <w:t>RequestContext.</w:t>
      </w:r>
    </w:p>
    <w:p>
      <w:pPr>
        <w:pStyle w:val="ListNumber"/>
      </w:pPr>
      <w:r>
        <w:t>LocationContext.</w:t>
      </w:r>
    </w:p>
    <w:p>
      <w:pPr>
        <w:pStyle w:val="ListNumber"/>
      </w:pPr>
      <w:r>
        <w:t>TransformationEngine.</w:t>
      </w:r>
    </w:p>
    <w:p>
      <w:pPr>
        <w:pStyle w:val="ListNumber"/>
      </w:pPr>
      <w:r>
        <w:t>MetadataSanitizer.</w:t>
      </w:r>
    </w:p>
    <w:p>
      <w:pPr>
        <w:pStyle w:val="ListNumber"/>
      </w:pPr>
      <w:r>
        <w:t>TemporalController.</w:t>
      </w:r>
    </w:p>
    <w:p>
      <w:pPr>
        <w:pStyle w:val="ListNumber"/>
      </w:pPr>
      <w:r>
        <w:t>PolicyStore.</w:t>
      </w:r>
    </w:p>
    <w:p>
      <w:pPr>
        <w:pStyle w:val="Heading1"/>
      </w:pPr>
      <w:r>
        <w:t>38. Example Policy</w:t>
      </w:r>
    </w:p>
    <w:p>
      <w:pPr>
        <w:ind w:left="288"/>
      </w:pPr>
      <w:r>
        <w:rPr>
          <w:rFonts w:ascii="Consolas" w:hAnsi="Consolas"/>
          <w:sz w:val="17"/>
        </w:rPr>
        <w:t>{</w:t>
        <w:br/>
        <w:t xml:space="preserve">  "schemaVersion": 1,</w:t>
        <w:br/>
        <w:t xml:space="preserve">  "packageName": "com.example.weather",</w:t>
        <w:br/>
        <w:t xml:space="preserve">  "userId": 0,</w:t>
        <w:br/>
        <w:t xml:space="preserve">  "enabled": true,</w:t>
        <w:br/>
        <w:t xml:space="preserve">  "spatial": {"mode": "CITY"},</w:t>
        <w:br/>
        <w:t xml:space="preserve">  "temporal": {"mode": "PERIODIC", "periodicIntervalMs": 3600000},</w:t>
        <w:br/>
        <w:t xml:space="preserve">  "background": {"mode": "RESTRICT"},</w:t>
        <w:br/>
        <w:t xml:space="preserve">  "metadata": {</w:t>
        <w:br/>
        <w:t xml:space="preserve">    "accuracyMode": "COARSE",</w:t>
        <w:br/>
        <w:t xml:space="preserve">    "timestampMode": "COARSE",</w:t>
        <w:br/>
        <w:t xml:space="preserve">    "speedMode": "DENY",</w:t>
        <w:br/>
        <w:t xml:space="preserve">    "bearingMode": "DENY"</w:t>
        <w:br/>
        <w:t xml:space="preserve">  }</w:t>
        <w:br/>
        <w:t>}</w:t>
      </w:r>
    </w:p>
    <w:p>
      <w:pPr>
        <w:pStyle w:val="Heading1"/>
      </w:pPr>
      <w:r>
        <w:t>39. Example Delivery Flow</w:t>
      </w:r>
    </w:p>
    <w:p>
      <w:pPr>
        <w:ind w:left="288"/>
      </w:pPr>
      <w:r>
        <w:rPr>
          <w:rFonts w:ascii="Consolas" w:hAnsi="Consolas"/>
          <w:sz w:val="17"/>
        </w:rPr>
        <w:t>Weather app</w:t>
        <w:br/>
        <w:t xml:space="preserve">   ↓ request</w:t>
        <w:br/>
        <w:t>Android framework</w:t>
        <w:br/>
        <w:t xml:space="preserve">   ↓</w:t>
        <w:br/>
        <w:t>LocationManagerService</w:t>
        <w:br/>
        <w:t xml:space="preserve">   ↓</w:t>
        <w:br/>
        <w:t>LocShield adapter</w:t>
        <w:br/>
        <w:t xml:space="preserve">   ↓</w:t>
        <w:br/>
        <w:t>resolve(identity)</w:t>
        <w:br/>
        <w:t xml:space="preserve">   ↓</w:t>
        <w:br/>
        <w:t>CITY + 1h</w:t>
        <w:br/>
        <w:t xml:space="preserve">   ↓</w:t>
        <w:br/>
        <w:t>TRANSFORM</w:t>
        <w:br/>
        <w:t xml:space="preserve">   ↓</w:t>
        <w:br/>
        <w:t>sanitize metadata</w:t>
        <w:br/>
        <w:t xml:space="preserve">   ↓</w:t>
        <w:br/>
        <w:t>deliver</w:t>
      </w:r>
    </w:p>
    <w:p>
      <w:pPr>
        <w:pStyle w:val="Heading1"/>
      </w:pPr>
      <w:r>
        <w:t>40. Policy Change During Active Request</w:t>
      </w:r>
    </w:p>
    <w:p>
      <w:pPr>
        <w:ind w:left="288"/>
      </w:pPr>
      <w:r>
        <w:rPr>
          <w:rFonts w:ascii="Consolas" w:hAnsi="Consolas"/>
          <w:sz w:val="17"/>
        </w:rPr>
        <w:t>t0 active request</w:t>
        <w:br/>
        <w:t>t1 user changes EXACT → CITY</w:t>
        <w:br/>
        <w:t>t2 generation increments</w:t>
        <w:br/>
        <w:t>t3 provider emits precise location</w:t>
        <w:br/>
        <w:t>t4 adapter resolves current generation</w:t>
        <w:br/>
        <w:t>t5 CITY transformation</w:t>
        <w:br/>
        <w:t>t6 app receives transformed result</w:t>
      </w:r>
    </w:p>
    <w:p>
      <w:r>
        <w:rPr>
          <w:b w:val="0"/>
        </w:rPr>
        <w:t>This is a mandatory acceptance test.</w:t>
      </w:r>
    </w:p>
    <w:p>
      <w:pPr>
        <w:pStyle w:val="Heading1"/>
      </w:pPr>
      <w:r>
        <w:t>41. Security Invariants</w:t>
      </w:r>
    </w:p>
    <w:p>
      <w:pPr>
        <w:pStyle w:val="ListNumber"/>
      </w:pPr>
      <w:r>
        <w:t>Control APK cannot obtain raw location through LocShield.</w:t>
      </w:r>
    </w:p>
    <w:p>
      <w:pPr>
        <w:pStyle w:val="ListNumber"/>
      </w:pPr>
      <w:r>
        <w:t>Apps cannot modify another app's policy without privileged authority.</w:t>
      </w:r>
    </w:p>
    <w:p>
      <w:pPr>
        <w:pStyle w:val="ListNumber"/>
      </w:pPr>
      <w:r>
        <w:t>Policy updates are atomic.</w:t>
      </w:r>
    </w:p>
    <w:p>
      <w:pPr>
        <w:pStyle w:val="ListNumber"/>
      </w:pPr>
      <w:r>
        <w:t>Invalid policy never becomes active.</w:t>
      </w:r>
    </w:p>
    <w:p>
      <w:pPr>
        <w:pStyle w:val="ListNumber"/>
      </w:pPr>
      <w:r>
        <w:t>Current policy is evaluated for controlled delivery.</w:t>
      </w:r>
    </w:p>
    <w:p>
      <w:pPr>
        <w:pStyle w:val="ListNumber"/>
      </w:pPr>
      <w:r>
        <w:t>Transformation occurs before application delivery.</w:t>
      </w:r>
    </w:p>
    <w:p>
      <w:pPr>
        <w:pStyle w:val="ListNumber"/>
      </w:pPr>
      <w:r>
        <w:t>Metadata cannot contradict spatial policy.</w:t>
      </w:r>
    </w:p>
    <w:p>
      <w:pPr>
        <w:pStyle w:val="ListNumber"/>
      </w:pPr>
      <w:r>
        <w:t>Android authorization remains the upper bound.</w:t>
      </w:r>
    </w:p>
    <w:p>
      <w:pPr>
        <w:pStyle w:val="ListNumber"/>
      </w:pPr>
      <w:r>
        <w:t>Internal enforcement APIs are not exposed to ordinary apps.</w:t>
      </w:r>
    </w:p>
    <w:p>
      <w:pPr>
        <w:pStyle w:val="ListNumber"/>
      </w:pPr>
      <w:r>
        <w:t>Identity is not based solely on client input.</w:t>
      </w:r>
    </w:p>
    <w:p>
      <w:pPr>
        <w:pStyle w:val="Heading1"/>
      </w:pPr>
      <w:r>
        <w:t>42. Open Questions</w:t>
      </w:r>
    </w:p>
    <w:p>
      <w:pPr>
        <w:pStyle w:val="ListBullet"/>
      </w:pPr>
      <w:r>
        <w:t>Exact system-service registration mechanism and Binder service name.</w:t>
      </w:r>
    </w:p>
    <w:p>
      <w:pPr>
        <w:pStyle w:val="ListBullet"/>
      </w:pPr>
      <w:r>
        <w:t>Exact Android permission declaration for policy administration.</w:t>
      </w:r>
    </w:p>
    <w:p>
      <w:pPr>
        <w:pStyle w:val="ListBullet"/>
      </w:pPr>
      <w:r>
        <w:t>Persistent storage and migration strategy.</w:t>
      </w:r>
    </w:p>
    <w:p>
      <w:pPr>
        <w:pStyle w:val="ListBullet"/>
      </w:pPr>
      <w:r>
        <w:t>Immutable snapshot mechanism.</w:t>
      </w:r>
    </w:p>
    <w:p>
      <w:pPr>
        <w:pStyle w:val="ListBullet"/>
      </w:pPr>
      <w:r>
        <w:t>Exact delivery adapter insertion point per Android release.</w:t>
      </w:r>
    </w:p>
    <w:p>
      <w:pPr>
        <w:pStyle w:val="ListBullet"/>
      </w:pPr>
      <w:r>
        <w:t>PendingIntent transformation semantics.</w:t>
      </w:r>
    </w:p>
    <w:p>
      <w:pPr>
        <w:pStyle w:val="ListBullet"/>
      </w:pPr>
      <w:r>
        <w:t>Geofence event representation.</w:t>
      </w:r>
    </w:p>
    <w:p>
      <w:pPr>
        <w:pStyle w:val="ListBullet"/>
      </w:pPr>
      <w:r>
        <w:t>GMS policy association.</w:t>
      </w:r>
    </w:p>
    <w:p>
      <w:pPr>
        <w:pStyle w:val="ListBullet"/>
      </w:pPr>
      <w:r>
        <w:t>GNSS side-channel controls and V1 scope.</w:t>
      </w:r>
    </w:p>
    <w:p>
      <w:pPr>
        <w:pStyle w:val="Heading1"/>
      </w:pPr>
      <w:r>
        <w:t>43. Implementation Gate</w:t>
      </w:r>
    </w:p>
    <w:p>
      <w:r>
        <w:rPr>
          <w:b w:val="0"/>
        </w:rPr>
        <w:t>The PolicyEngine implementation gate requires frozen AIDL names, schema version, enum semantics, identity model, effective-policy calculation, transformation contract, temporal contract, and failure behavior.</w:t>
      </w:r>
    </w:p>
    <w:p>
      <w:r>
        <w:rPr>
          <w:b w:val="0"/>
        </w:rPr>
        <w:t>Once these contracts are accepted, the PolicyEngine can be implemented and unit-tested independently of the full AOSP modification.</w:t>
      </w:r>
    </w:p>
    <w:p>
      <w:pPr>
        <w:pStyle w:val="Heading1"/>
      </w:pPr>
      <w:r>
        <w:t>44. Next Document</w:t>
      </w:r>
    </w:p>
    <w:p>
      <w:r>
        <w:rPr>
          <w:b w:val="0"/>
        </w:rPr>
        <w:t>Document 12 — LocShield Policy Engine Specification &amp; Reference Implementation Design v1 will define rule precedence, spatial transformations, temporal enforcement, metadata degradation, defaults, test vectors, and deterministic unit tests. That is the first document immediately preceding practical Policy Engine implementation.</w:t>
      </w:r>
    </w:p>
    <w:p>
      <w:pPr>
        <w:pStyle w:val="Heading1"/>
      </w:pPr>
      <w:r>
        <w:t>45. Revision History</w:t>
      </w:r>
    </w:p>
    <w:tbl>
      <w:tblPr>
        <w:tblStyle w:val="TableGrid"/>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Date</w:t>
            </w:r>
          </w:p>
        </w:tc>
        <w:tc>
          <w:tcPr>
            <w:tcW w:type="dxa" w:w="3312"/>
          </w:tcPr>
          <w:p>
            <w:r>
              <w:t>Description</w:t>
            </w:r>
          </w:p>
        </w:tc>
      </w:tr>
      <w:tr>
        <w:tc>
          <w:tcPr>
            <w:tcW w:type="dxa" w:w="3312"/>
          </w:tcPr>
          <w:p>
            <w:r>
              <w:t>1.0</w:t>
            </w:r>
          </w:p>
        </w:tc>
        <w:tc>
          <w:tcPr>
            <w:tcW w:type="dxa" w:w="3312"/>
          </w:tcPr>
          <w:p>
            <w:r>
              <w:t>2026-09-28</w:t>
            </w:r>
          </w:p>
        </w:tc>
        <w:tc>
          <w:tcPr>
            <w:tcW w:type="dxa" w:w="3312"/>
          </w:tcPr>
          <w:p>
            <w:r>
              <w:t>Initial AIDL and internal API architecture contract.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LocShield — AIDL &amp; Internal API Specification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