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A746D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实验四、基于人工势场引导的</w:t>
      </w:r>
      <w:r>
        <w:rPr>
          <w:rFonts w:ascii="Times New Roman" w:eastAsia="宋体" w:hAnsi="Times New Roman" w:cs="Times New Roman"/>
          <w:b/>
          <w:sz w:val="28"/>
          <w:szCs w:val="24"/>
        </w:rPr>
        <w:t>自主泊车路径规划方法</w:t>
      </w:r>
    </w:p>
    <w:p w14:paraId="2AF17C20" w14:textId="77777777" w:rsidR="00856C9E" w:rsidRDefault="00000000">
      <w:pPr>
        <w:spacing w:beforeLines="100" w:before="312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自主泊车路径规划方法，对于引导无人车泊车至关重要，要求在访问较少节点的同时规划出符合车辆运动学约束的泊车路径。</w:t>
      </w:r>
    </w:p>
    <w:p w14:paraId="0D339B4A" w14:textId="77777777" w:rsidR="00856C9E" w:rsidRDefault="00000000">
      <w:pPr>
        <w:spacing w:beforeLines="100" w:before="312"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67E66" wp14:editId="1C9BE90C">
            <wp:extent cx="5274310" cy="3901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1A30" w14:textId="77777777" w:rsidR="00856C9E" w:rsidRDefault="00000000">
      <w:pPr>
        <w:spacing w:beforeLines="100" w:before="312"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泊车区域栅格地图</w:t>
      </w:r>
    </w:p>
    <w:p w14:paraId="16CE4EAD" w14:textId="77777777" w:rsidR="00856C9E" w:rsidRDefault="00000000">
      <w:pPr>
        <w:pStyle w:val="ab"/>
        <w:numPr>
          <w:ilvl w:val="0"/>
          <w:numId w:val="1"/>
        </w:numPr>
        <w:spacing w:beforeLines="30" w:before="93" w:afterLines="30" w:after="93" w:line="360" w:lineRule="auto"/>
        <w:ind w:left="357" w:firstLineChars="0" w:hanging="357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人工流势场算法</w:t>
      </w:r>
    </w:p>
    <w:p w14:paraId="03ACEEE9" w14:textId="77777777" w:rsidR="00856C9E" w:rsidRDefault="0000000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人工势场法是由</w:t>
      </w:r>
      <w:r>
        <w:rPr>
          <w:rFonts w:ascii="Times New Roman" w:eastAsia="宋体" w:hAnsi="Times New Roman" w:cs="Times New Roman"/>
          <w:sz w:val="24"/>
          <w:szCs w:val="24"/>
        </w:rPr>
        <w:t xml:space="preserve"> Khatib</w:t>
      </w:r>
      <w:r>
        <w:rPr>
          <w:rFonts w:ascii="Times New Roman" w:eastAsia="宋体" w:hAnsi="Times New Roman" w:cs="Times New Roman" w:hint="eastAsia"/>
          <w:sz w:val="24"/>
          <w:szCs w:val="24"/>
        </w:rPr>
        <w:t>提出的一种应用于路径规划问题上的技术解决方案。在周围环境信息已知的情况下，将整个规划空间类比为一个电势场平面（图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并假设运动主体在抽象的虚拟场中移动，人工势场如同电势场性质，同时包括引力场和斥力场，其中运动主体和目标点所带电荷相反，因此目标点对运动主体产生吸引力，引导主体朝向其运动；同时运动主体和障碍物具有同种电荷，因此障碍物对运动主体产生排斥力，避免两者发生碰撞；引力与斥力的合力作为运动主体的大致移动方向，运动主体从初始点出发，不断沿着梯度下降的方向朝目标点移动，最终生成一条既远离障碍物又处于空旷区域的可靠安全的行驶路径。</w:t>
      </w:r>
    </w:p>
    <w:p w14:paraId="1C560CA1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482A9B" wp14:editId="7F974D74">
            <wp:extent cx="3539490" cy="193357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0375" cy="19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47DE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电势场</w:t>
      </w:r>
    </w:p>
    <w:p w14:paraId="2CE4DF26" w14:textId="77777777" w:rsidR="00856C9E" w:rsidRDefault="0000000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当存在障碍物时，流势场函数Ψ</w:t>
      </w:r>
      <w:r>
        <w:rPr>
          <w:rFonts w:ascii="Times New Roman" w:eastAsia="宋体" w:hAnsi="Times New Roman" w:cs="Times New Roman"/>
          <w:sz w:val="24"/>
          <w:szCs w:val="24"/>
        </w:rPr>
        <w:t xml:space="preserve">(i, j) </w:t>
      </w:r>
      <w:r>
        <w:rPr>
          <w:rFonts w:ascii="Times New Roman" w:eastAsia="宋体" w:hAnsi="Times New Roman" w:cs="Times New Roman" w:hint="eastAsia"/>
          <w:sz w:val="24"/>
          <w:szCs w:val="24"/>
        </w:rPr>
        <w:t>的定义为：</w:t>
      </w:r>
    </w:p>
    <w:p w14:paraId="635183ED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  <w:sz w:val="24"/>
        </w:rPr>
        <w:drawing>
          <wp:inline distT="0" distB="0" distL="0" distR="0" wp14:anchorId="6A83507A" wp14:editId="4AB3438B">
            <wp:extent cx="4343400" cy="5105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995" cy="5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141B" w14:textId="77777777" w:rsidR="00856C9E" w:rsidRDefault="0000000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流势场函数分别对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 xml:space="preserve">j </w:t>
      </w:r>
      <w:r>
        <w:rPr>
          <w:rFonts w:ascii="Times New Roman" w:eastAsia="宋体" w:hAnsi="Times New Roman" w:cs="Times New Roman" w:hint="eastAsia"/>
          <w:sz w:val="24"/>
          <w:szCs w:val="24"/>
        </w:rPr>
        <w:t>求偏导，可得水平和竖直方向的速度分量</w:t>
      </w:r>
      <w:r>
        <w:rPr>
          <w:rFonts w:ascii="Times New Roman" w:eastAsia="宋体" w:hAnsi="Times New Roman" w:cs="Times New Roman"/>
          <w:sz w:val="24"/>
          <w:szCs w:val="24"/>
        </w:rPr>
        <w:t xml:space="preserve"> u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 xml:space="preserve">v </w:t>
      </w:r>
      <w:r>
        <w:rPr>
          <w:rFonts w:ascii="Times New Roman" w:eastAsia="宋体" w:hAnsi="Times New Roman" w:cs="Times New Roman" w:hint="eastAsia"/>
          <w:sz w:val="24"/>
          <w:szCs w:val="24"/>
        </w:rPr>
        <w:t>分别为：</w:t>
      </w:r>
    </w:p>
    <w:p w14:paraId="13F33710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A330290" wp14:editId="71F62AB2">
            <wp:extent cx="3860800" cy="101663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9453" cy="10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1FD3" w14:textId="77777777" w:rsidR="00856C9E" w:rsidRDefault="0000000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</w:p>
    <w:p w14:paraId="7195D8A3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BD0ED72" wp14:editId="6931EEC6">
            <wp:extent cx="5470525" cy="247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5924" cy="2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D024" w14:textId="77777777" w:rsidR="00856C9E" w:rsidRDefault="0000000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若存在多个障碍物，可以使用叠加原理对速度进行加权求和：</w:t>
      </w:r>
    </w:p>
    <w:p w14:paraId="79D1B058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22342" wp14:editId="562F6215">
            <wp:extent cx="1323975" cy="6013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1047" cy="6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3CE" w14:textId="77777777" w:rsidR="00856C9E" w:rsidRDefault="0000000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>
        <w:rPr>
          <w:rFonts w:ascii="Times New Roman" w:eastAsia="宋体" w:hAnsi="Times New Roman" w:cs="Times New Roman"/>
          <w:sz w:val="24"/>
          <w:szCs w:val="24"/>
        </w:rPr>
        <w:t xml:space="preserve">n = 1, 2, ..., m </w:t>
      </w:r>
      <w:r>
        <w:rPr>
          <w:rFonts w:ascii="Times New Roman" w:eastAsia="宋体" w:hAnsi="Times New Roman" w:cs="Times New Roman" w:hint="eastAsia"/>
          <w:sz w:val="24"/>
          <w:szCs w:val="24"/>
        </w:rPr>
        <w:t>表示第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i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个障碍物，</w:t>
      </w:r>
      <w:r>
        <w:rPr>
          <w:rFonts w:ascii="Times New Roman" w:eastAsia="宋体" w:hAnsi="Times New Roman" w:cs="Times New Roman"/>
          <w:i/>
          <w:sz w:val="24"/>
          <w:szCs w:val="24"/>
        </w:rPr>
        <w:t>λ</w:t>
      </w:r>
      <w:r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为障碍物的影响系数，</w:t>
      </w:r>
      <w:r>
        <w:rPr>
          <w:rFonts w:ascii="Times New Roman" w:eastAsia="宋体" w:hAnsi="Times New Roman" w:cs="Times New Roman"/>
          <w:i/>
          <w:sz w:val="24"/>
          <w:szCs w:val="24"/>
        </w:rPr>
        <w:t>A</w:t>
      </w:r>
      <w:r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/>
          <w:i/>
          <w:sz w:val="24"/>
          <w:szCs w:val="24"/>
        </w:rPr>
        <w:t>B</w:t>
      </w:r>
      <w:r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分别为流势场水平和竖直方向上的速度分量。根据式上式的速度关系</w:t>
      </w:r>
      <w:r>
        <w:rPr>
          <w:rFonts w:ascii="Times New Roman" w:eastAsia="宋体" w:hAnsi="Times New Roman" w:cs="Times New Roman"/>
          <w:sz w:val="24"/>
          <w:szCs w:val="24"/>
        </w:rPr>
        <w:t xml:space="preserve">, </w:t>
      </w:r>
      <w:r>
        <w:rPr>
          <w:rFonts w:ascii="Times New Roman" w:eastAsia="宋体" w:hAnsi="Times New Roman" w:cs="Times New Roman" w:hint="eastAsia"/>
          <w:sz w:val="24"/>
          <w:szCs w:val="24"/>
        </w:rPr>
        <w:t>可得每一个栅格节点的势场方向为：</w:t>
      </w:r>
    </w:p>
    <w:p w14:paraId="196FBF26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2A7ED" wp14:editId="1681294F">
            <wp:extent cx="2254250" cy="3822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176" cy="4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CB46" w14:textId="77777777" w:rsidR="00856C9E" w:rsidRDefault="0000000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>
        <w:rPr>
          <w:rFonts w:ascii="Times New Roman" w:eastAsia="宋体" w:hAnsi="Times New Roman" w:cs="Times New Roman"/>
          <w:i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i/>
          <w:sz w:val="24"/>
          <w:szCs w:val="24"/>
        </w:rPr>
        <w:t xml:space="preserve">j </w:t>
      </w:r>
      <w:r>
        <w:rPr>
          <w:rFonts w:ascii="Times New Roman" w:eastAsia="宋体" w:hAnsi="Times New Roman" w:cs="Times New Roman" w:hint="eastAsia"/>
          <w:sz w:val="24"/>
          <w:szCs w:val="24"/>
        </w:rPr>
        <w:t>分别表示栅格节点的横坐标、纵坐标，</w:t>
      </w:r>
      <w:r>
        <w:rPr>
          <w:rFonts w:ascii="Times New Roman" w:eastAsia="宋体" w:hAnsi="Times New Roman" w:cs="Times New Roman"/>
          <w:i/>
          <w:sz w:val="24"/>
          <w:szCs w:val="24"/>
        </w:rPr>
        <w:t>G</w:t>
      </w:r>
      <w:r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ij</w:t>
      </w:r>
      <w:r>
        <w:rPr>
          <w:rFonts w:ascii="Times New Roman" w:eastAsia="宋体" w:hAnsi="Times New Roman" w:cs="Times New Roman" w:hint="eastAsia"/>
          <w:sz w:val="24"/>
          <w:szCs w:val="24"/>
        </w:rPr>
        <w:t>为栅格地图中节点的势场方向。在泊车区域的栅格地图中构建流势场，生成流势场图。</w:t>
      </w:r>
    </w:p>
    <w:p w14:paraId="25F73EA8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A7910" wp14:editId="36A351F3">
            <wp:extent cx="4714875" cy="349821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6052" cy="350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812F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泊车区域流势场图</w:t>
      </w:r>
    </w:p>
    <w:p w14:paraId="3507ACDC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28BA9ED" wp14:editId="3302A9FD">
            <wp:extent cx="3327400" cy="328549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5606" cy="33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4406" w14:textId="77777777" w:rsidR="00856C9E" w:rsidRDefault="00000000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 xml:space="preserve">4 </w:t>
      </w:r>
      <w:r>
        <w:rPr>
          <w:rFonts w:ascii="Times New Roman" w:eastAsia="宋体" w:hAnsi="Times New Roman" w:cs="Times New Roman" w:hint="eastAsia"/>
          <w:szCs w:val="24"/>
        </w:rPr>
        <w:t>自主泊车总体框架</w:t>
      </w:r>
    </w:p>
    <w:p w14:paraId="67615452" w14:textId="77777777" w:rsidR="00856C9E" w:rsidRDefault="00856C9E">
      <w:pPr>
        <w:spacing w:line="360" w:lineRule="auto"/>
        <w:jc w:val="center"/>
        <w:rPr>
          <w:rFonts w:ascii="Times New Roman" w:eastAsia="宋体" w:hAnsi="Times New Roman" w:cs="Times New Roman"/>
          <w:szCs w:val="24"/>
        </w:rPr>
      </w:pPr>
    </w:p>
    <w:p w14:paraId="1BECCC33" w14:textId="77777777" w:rsidR="00856C9E" w:rsidRDefault="00856C9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662750D" w14:textId="77777777" w:rsidR="00856C9E" w:rsidRDefault="00856C9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A315A39" w14:textId="77777777" w:rsidR="00856C9E" w:rsidRDefault="00856C9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25F2922" w14:textId="77777777" w:rsidR="00856C9E" w:rsidRDefault="00000000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实验要求：</w:t>
      </w:r>
    </w:p>
    <w:p w14:paraId="17B9AA76" w14:textId="77777777" w:rsidR="00856C9E" w:rsidRDefault="00000000">
      <w:pPr>
        <w:pStyle w:val="ab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根据上述流程图，写出基于人工势场引导的自主泊车路径规划的原理；</w:t>
      </w:r>
    </w:p>
    <w:p w14:paraId="48CD31AF" w14:textId="77777777" w:rsidR="00856C9E" w:rsidRDefault="00000000">
      <w:pPr>
        <w:pStyle w:val="ab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编写基于人工势场引导的自主泊车路径规划程序；</w:t>
      </w:r>
    </w:p>
    <w:p w14:paraId="02F7D5A1" w14:textId="77777777" w:rsidR="00856C9E" w:rsidRDefault="00000000">
      <w:pPr>
        <w:pStyle w:val="ab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参考：</w:t>
      </w:r>
      <w:hyperlink r:id="rId16" w:history="1">
        <w:r>
          <w:rPr>
            <w:rStyle w:val="a9"/>
          </w:rPr>
          <w:t>自动驾驶路径规划——人工势场法_yuan〇的博客-CSDN博客_人工势场法路径规划</w:t>
        </w:r>
      </w:hyperlink>
    </w:p>
    <w:p w14:paraId="78CB26CD" w14:textId="77777777" w:rsidR="00856C9E" w:rsidRDefault="00000000">
      <w:pPr>
        <w:pStyle w:val="ab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自主添加障碍物，测试算法性能，总结方法。</w:t>
      </w:r>
    </w:p>
    <w:p w14:paraId="249C71D9" w14:textId="77777777" w:rsidR="00856C9E" w:rsidRDefault="00856C9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0C8677A" w14:textId="77777777" w:rsidR="00856C9E" w:rsidRDefault="00856C9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856C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882EB" w14:textId="77777777" w:rsidR="00062709" w:rsidRDefault="00062709" w:rsidP="0025791D">
      <w:r>
        <w:separator/>
      </w:r>
    </w:p>
  </w:endnote>
  <w:endnote w:type="continuationSeparator" w:id="0">
    <w:p w14:paraId="5C4353BE" w14:textId="77777777" w:rsidR="00062709" w:rsidRDefault="00062709" w:rsidP="00257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F3C46" w14:textId="77777777" w:rsidR="00062709" w:rsidRDefault="00062709" w:rsidP="0025791D">
      <w:r>
        <w:separator/>
      </w:r>
    </w:p>
  </w:footnote>
  <w:footnote w:type="continuationSeparator" w:id="0">
    <w:p w14:paraId="696C6A99" w14:textId="77777777" w:rsidR="00062709" w:rsidRDefault="00062709" w:rsidP="002579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420DF3"/>
    <w:multiLevelType w:val="multilevel"/>
    <w:tmpl w:val="6B420DF3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759C3969"/>
    <w:multiLevelType w:val="multilevel"/>
    <w:tmpl w:val="759C3969"/>
    <w:lvl w:ilvl="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540480358">
    <w:abstractNumId w:val="0"/>
  </w:num>
  <w:num w:numId="2" w16cid:durableId="2137792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850"/>
    <w:rsid w:val="00006620"/>
    <w:rsid w:val="00036FBE"/>
    <w:rsid w:val="00062709"/>
    <w:rsid w:val="000707F9"/>
    <w:rsid w:val="00094013"/>
    <w:rsid w:val="000B7FF4"/>
    <w:rsid w:val="000D2E71"/>
    <w:rsid w:val="00105476"/>
    <w:rsid w:val="00142596"/>
    <w:rsid w:val="001A02E1"/>
    <w:rsid w:val="001C0EF3"/>
    <w:rsid w:val="001E4236"/>
    <w:rsid w:val="001E6E14"/>
    <w:rsid w:val="0025791D"/>
    <w:rsid w:val="00275FB8"/>
    <w:rsid w:val="002956D4"/>
    <w:rsid w:val="0033636C"/>
    <w:rsid w:val="003641C5"/>
    <w:rsid w:val="00393766"/>
    <w:rsid w:val="00393CC8"/>
    <w:rsid w:val="003F4291"/>
    <w:rsid w:val="00422CF5"/>
    <w:rsid w:val="00510FE0"/>
    <w:rsid w:val="00561E1E"/>
    <w:rsid w:val="00586867"/>
    <w:rsid w:val="00600956"/>
    <w:rsid w:val="0060544E"/>
    <w:rsid w:val="00647AFD"/>
    <w:rsid w:val="00666A5C"/>
    <w:rsid w:val="00676B5F"/>
    <w:rsid w:val="006816AD"/>
    <w:rsid w:val="00682137"/>
    <w:rsid w:val="0069799F"/>
    <w:rsid w:val="00722457"/>
    <w:rsid w:val="00735903"/>
    <w:rsid w:val="00746693"/>
    <w:rsid w:val="00755B25"/>
    <w:rsid w:val="00767865"/>
    <w:rsid w:val="007A572C"/>
    <w:rsid w:val="00817946"/>
    <w:rsid w:val="00856C9E"/>
    <w:rsid w:val="008775DC"/>
    <w:rsid w:val="008914E5"/>
    <w:rsid w:val="008D5CBA"/>
    <w:rsid w:val="00937D31"/>
    <w:rsid w:val="009539F2"/>
    <w:rsid w:val="009D419C"/>
    <w:rsid w:val="00A166C5"/>
    <w:rsid w:val="00A73850"/>
    <w:rsid w:val="00AB01D8"/>
    <w:rsid w:val="00B20B85"/>
    <w:rsid w:val="00B61CE6"/>
    <w:rsid w:val="00B96D6F"/>
    <w:rsid w:val="00BD3ADF"/>
    <w:rsid w:val="00C27541"/>
    <w:rsid w:val="00C72A0A"/>
    <w:rsid w:val="00CA4B69"/>
    <w:rsid w:val="00CD35FF"/>
    <w:rsid w:val="00CF0B44"/>
    <w:rsid w:val="00D258EA"/>
    <w:rsid w:val="00D43589"/>
    <w:rsid w:val="00DB3063"/>
    <w:rsid w:val="00DB4F38"/>
    <w:rsid w:val="00DE0FF9"/>
    <w:rsid w:val="00E057F3"/>
    <w:rsid w:val="00E81E97"/>
    <w:rsid w:val="00E96477"/>
    <w:rsid w:val="00EB2C93"/>
    <w:rsid w:val="00EB3225"/>
    <w:rsid w:val="00EF4874"/>
    <w:rsid w:val="00F126D4"/>
    <w:rsid w:val="00FA5CAE"/>
    <w:rsid w:val="00FD0A60"/>
    <w:rsid w:val="5DFF42A4"/>
    <w:rsid w:val="6AF7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D6A942"/>
  <w15:docId w15:val="{1B0CEC4E-0181-4993-B7E0-0BE07A6A5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a">
    <w:name w:val="Hyperlink"/>
    <w:basedOn w:val="a0"/>
    <w:uiPriority w:val="99"/>
    <w:semiHidden/>
    <w:unhideWhenUsed/>
    <w:rPr>
      <w:color w:val="0000FF"/>
      <w:u w:val="single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styleId="ac">
    <w:name w:val="Placeholder Text"/>
    <w:basedOn w:val="a0"/>
    <w:uiPriority w:val="99"/>
    <w:semiHidden/>
    <w:rPr>
      <w:color w:val="808080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sdn.net/sinat_52032317/article/details/1270374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135</Words>
  <Characters>771</Characters>
  <Application>Microsoft Office Word</Application>
  <DocSecurity>0</DocSecurity>
  <Lines>6</Lines>
  <Paragraphs>1</Paragraphs>
  <ScaleCrop>false</ScaleCrop>
  <Company>Microsoft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吴 艺玮</cp:lastModifiedBy>
  <cp:revision>2</cp:revision>
  <cp:lastPrinted>2022-12-15T07:51:00Z</cp:lastPrinted>
  <dcterms:created xsi:type="dcterms:W3CDTF">2023-07-08T15:49:00Z</dcterms:created>
  <dcterms:modified xsi:type="dcterms:W3CDTF">2023-07-08T15:49:00Z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2052-5.4.0.7910</vt:lpwstr>
  </property>
  <property fmtid="{D5CDD505-2E9C-101B-9397-08002B2CF9AE}" pid="3" name="ICV">
    <vt:lpwstr>CDA78BF473467C4789AF64647CB23718_42</vt:lpwstr>
  </property>
</Properties>
</file>