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2384A"/>
          <w:sz w:val="32"/>
        </w:rPr>
        <w:t>BÁO CÁO CÁ NHÂN 2</w:t>
      </w:r>
    </w:p>
    <w:p>
      <w:pPr>
        <w:jc w:val="center"/>
      </w:pPr>
      <w:r>
        <w:rPr>
          <w:rFonts w:ascii="Arial" w:hAnsi="Arial"/>
          <w:b/>
          <w:color w:val="12384A"/>
          <w:sz w:val="32"/>
        </w:rPr>
        <w:t>TÌM KIẾM VÀ ĐÁNH GIÁ THÔNG TIN HỌC THUẬT</w:t>
      </w:r>
    </w:p>
    <w:p>
      <w:pPr>
        <w:spacing w:after="20"/>
      </w:pPr>
      <w:r>
        <w:rPr>
          <w:b/>
        </w:rPr>
        <w:t xml:space="preserve">Chủ đề: </w:t>
      </w:r>
      <w:r>
        <w:t>Ứng dụng học máy trong phát hiện gian lận tài chính</w:t>
      </w:r>
    </w:p>
    <w:p>
      <w:pPr>
        <w:spacing w:after="20"/>
      </w:pPr>
      <w:r>
        <w:rPr>
          <w:b/>
        </w:rPr>
        <w:t xml:space="preserve">Sinh viên: </w:t>
      </w:r>
      <w:r>
        <w:t>Nguyễn Ngọc Minh - MSSV: 25024137 - Lớp DS1 - Ngành DSA Khoa học dữ liệu K70</w:t>
      </w:r>
    </w:p>
    <w:p>
      <w:pPr>
        <w:pStyle w:val="Heading1"/>
      </w:pPr>
      <w:r>
        <w:t>1. Lựa chọn chủ đề và phạm vi tìm kiếm</w:t>
      </w:r>
    </w:p>
    <w:p>
      <w:r>
        <w:t>Tôi chọn chủ đề ứng dụng học máy trong phát hiện gian lận tài chính vì chủ đề này liên quan trực tiếp đến ngành Khoa học dữ liệu. Trong thực tế, các giao dịch thẻ, ví điện tử, chuyển khoản và hoạt động rửa tiền đều tạo ra lượng dữ liệu lớn. Học máy có thể hỗ trợ phát hiện mẫu bất thường, phân loại giao dịch rủi ro và giúp tổ chức tài chính phản ứng nhanh hơn trước hành vi gian lận.</w:t>
      </w:r>
    </w:p>
    <w:p>
      <w:r>
        <w:t>Phạm vi tìm kiếm được giới hạn vào các tài liệu từ năm 2015 đến 2026, ưu tiên bài báo khoa học, tổng quan hệ thống, bài hội nghị IEEE, sách chuyên khảo và nguồn dữ liệu mở. Các từ khóa chính gồm: machine learning financial fraud detection, credit card fraud detection, money laundering detection, class imbalance fraud detection và fraud analytics.</w:t>
      </w:r>
    </w:p>
    <w:p>
      <w:pPr>
        <w:pStyle w:val="Heading1"/>
      </w:pPr>
      <w:r>
        <w:t>2. Quá trình tìm kiếm thông tin</w:t>
      </w:r>
    </w:p>
    <w:p>
      <w:pPr/>
      <w:r>
        <w:t>Cơ sở dữ liệu học thuật: Google Scholar, IEEE Xplore, Nature, MDPI và các trang DOI để tìm bài báo có tác giả, năm xuất bản, phương pháp nghiên cứu và trích dẫn rõ.</w:t>
      </w:r>
    </w:p>
    <w:p>
      <w:pPr/>
      <w:r>
        <w:t>Tạp chí và kỷ yếu khoa học: ưu tiên Applied Sciences, Humanities and Social Sciences Communications, IEEE conferences và LACCEI Proceedings.</w:t>
      </w:r>
    </w:p>
    <w:p>
      <w:pPr/>
      <w:r>
        <w:t>Sách chuyên khảo: chọn Fraud Analytics của Wiley và Fraud Detection Handbook vì hai nguồn này trình bày nền tảng, quy trình mô hình hóa và cách đánh giá mô hình.</w:t>
      </w:r>
    </w:p>
    <w:p>
      <w:pPr/>
      <w:r>
        <w:t>Nguồn mở internet: sử dụng Kaggle Credit Card Fraud Detection Dataset như ví dụ dữ liệu thực hành, nhưng đánh giá thấp hơn vì đây là bộ dữ liệu mở chứ không phải bài nghiên cứu phản biện.</w:t>
      </w:r>
    </w:p>
    <w:p>
      <w:pPr>
        <w:pStyle w:val="Heading1"/>
      </w:pPr>
      <w:r>
        <w:t>3. Bảng tổng hợp và đánh giá nguồn</w:t>
      </w:r>
    </w:p>
    <w:tbl>
      <w:tblPr>
        <w:tblStyle w:val="TableGrid"/>
        <w:tblW w:type="auto" w:w="0"/>
        <w:tblLook w:firstColumn="1" w:firstRow="1" w:lastColumn="0" w:lastRow="0" w:noHBand="0" w:noVBand="1" w:val="04A0"/>
      </w:tblPr>
      <w:tblGrid>
        <w:gridCol w:w="1747"/>
        <w:gridCol w:w="1747"/>
        <w:gridCol w:w="1747"/>
        <w:gridCol w:w="1747"/>
        <w:gridCol w:w="1747"/>
        <w:gridCol w:w="1747"/>
      </w:tblGrid>
      <w:tr>
        <w:tc>
          <w:tcPr>
            <w:tcW w:type="dxa" w:w="1747"/>
          </w:tcPr>
          <w:p>
            <w:r>
              <w:rPr>
                <w:rFonts w:ascii="Arial" w:hAnsi="Arial"/>
                <w:b/>
                <w:sz w:val="16"/>
              </w:rPr>
              <w:t>STT</w:t>
            </w:r>
          </w:p>
        </w:tc>
        <w:tc>
          <w:tcPr>
            <w:tcW w:type="dxa" w:w="1747"/>
          </w:tcPr>
          <w:p>
            <w:r>
              <w:rPr>
                <w:rFonts w:ascii="Arial" w:hAnsi="Arial"/>
                <w:b/>
                <w:sz w:val="16"/>
              </w:rPr>
              <w:t>Nguồn</w:t>
            </w:r>
          </w:p>
        </w:tc>
        <w:tc>
          <w:tcPr>
            <w:tcW w:type="dxa" w:w="1747"/>
          </w:tcPr>
          <w:p>
            <w:r>
              <w:rPr>
                <w:rFonts w:ascii="Arial" w:hAnsi="Arial"/>
                <w:b/>
                <w:sz w:val="16"/>
              </w:rPr>
              <w:t>Loại nguồn</w:t>
            </w:r>
          </w:p>
        </w:tc>
        <w:tc>
          <w:tcPr>
            <w:tcW w:type="dxa" w:w="1747"/>
          </w:tcPr>
          <w:p>
            <w:r>
              <w:rPr>
                <w:rFonts w:ascii="Arial" w:hAnsi="Arial"/>
                <w:b/>
                <w:sz w:val="16"/>
              </w:rPr>
              <w:t>Nội dung liên quan</w:t>
            </w:r>
          </w:p>
        </w:tc>
        <w:tc>
          <w:tcPr>
            <w:tcW w:type="dxa" w:w="1747"/>
          </w:tcPr>
          <w:p>
            <w:r>
              <w:rPr>
                <w:rFonts w:ascii="Arial" w:hAnsi="Arial"/>
                <w:b/>
                <w:sz w:val="16"/>
              </w:rPr>
              <w:t>Đánh giá độ tin cậy</w:t>
            </w:r>
          </w:p>
        </w:tc>
        <w:tc>
          <w:tcPr>
            <w:tcW w:type="dxa" w:w="1747"/>
          </w:tcPr>
          <w:p>
            <w:r>
              <w:rPr>
                <w:rFonts w:ascii="Arial" w:hAnsi="Arial"/>
                <w:b/>
                <w:sz w:val="16"/>
              </w:rPr>
              <w:t>Hạng</w:t>
            </w:r>
          </w:p>
        </w:tc>
      </w:tr>
      <w:tr>
        <w:tc>
          <w:tcPr>
            <w:tcW w:type="dxa" w:w="1747"/>
          </w:tcPr>
          <w:p>
            <w:r>
              <w:rPr>
                <w:rFonts w:ascii="Arial" w:hAnsi="Arial"/>
                <w:sz w:val="16"/>
              </w:rPr>
              <w:t>1</w:t>
            </w:r>
          </w:p>
        </w:tc>
        <w:tc>
          <w:tcPr>
            <w:tcW w:type="dxa" w:w="1747"/>
          </w:tcPr>
          <w:p>
            <w:r>
              <w:rPr>
                <w:rFonts w:ascii="Arial" w:hAnsi="Arial"/>
                <w:sz w:val="16"/>
              </w:rPr>
              <w:t>Ali et al. (2022)</w:t>
            </w:r>
          </w:p>
        </w:tc>
        <w:tc>
          <w:tcPr>
            <w:tcW w:type="dxa" w:w="1747"/>
          </w:tcPr>
          <w:p>
            <w:r>
              <w:rPr>
                <w:rFonts w:ascii="Arial" w:hAnsi="Arial"/>
                <w:sz w:val="16"/>
              </w:rPr>
              <w:t>Bài báo khoa học</w:t>
            </w:r>
          </w:p>
        </w:tc>
        <w:tc>
          <w:tcPr>
            <w:tcW w:type="dxa" w:w="1747"/>
          </w:tcPr>
          <w:p>
            <w:r>
              <w:rPr>
                <w:rFonts w:ascii="Arial" w:hAnsi="Arial"/>
                <w:sz w:val="16"/>
              </w:rPr>
              <w:t>Systematic literature review về phát hiện gian lận tài chính bằng học máy.</w:t>
            </w:r>
          </w:p>
        </w:tc>
        <w:tc>
          <w:tcPr>
            <w:tcW w:type="dxa" w:w="1747"/>
          </w:tcPr>
          <w:p>
            <w:r>
              <w:rPr>
                <w:rFonts w:ascii="Arial" w:hAnsi="Arial"/>
                <w:sz w:val="16"/>
              </w:rPr>
              <w:t>Tạp chí Applied Sciences, có DOI, phương pháp Kitchenham rõ.</w:t>
            </w:r>
          </w:p>
        </w:tc>
        <w:tc>
          <w:tcPr>
            <w:tcW w:type="dxa" w:w="1747"/>
          </w:tcPr>
          <w:p>
            <w:r>
              <w:rPr>
                <w:rFonts w:ascii="Arial" w:hAnsi="Arial"/>
                <w:sz w:val="16"/>
              </w:rPr>
              <w:t>5</w:t>
            </w:r>
          </w:p>
        </w:tc>
      </w:tr>
      <w:tr>
        <w:tc>
          <w:tcPr>
            <w:tcW w:type="dxa" w:w="1747"/>
          </w:tcPr>
          <w:p>
            <w:r>
              <w:rPr>
                <w:rFonts w:ascii="Arial" w:hAnsi="Arial"/>
                <w:sz w:val="16"/>
              </w:rPr>
              <w:t>2</w:t>
            </w:r>
          </w:p>
        </w:tc>
        <w:tc>
          <w:tcPr>
            <w:tcW w:type="dxa" w:w="1747"/>
          </w:tcPr>
          <w:p>
            <w:r>
              <w:rPr>
                <w:rFonts w:ascii="Arial" w:hAnsi="Arial"/>
                <w:sz w:val="16"/>
              </w:rPr>
              <w:t>Hernandez Aros et al. (2024)</w:t>
            </w:r>
          </w:p>
        </w:tc>
        <w:tc>
          <w:tcPr>
            <w:tcW w:type="dxa" w:w="1747"/>
          </w:tcPr>
          <w:p>
            <w:r>
              <w:rPr>
                <w:rFonts w:ascii="Arial" w:hAnsi="Arial"/>
                <w:sz w:val="16"/>
              </w:rPr>
              <w:t>Bài báo khoa học</w:t>
            </w:r>
          </w:p>
        </w:tc>
        <w:tc>
          <w:tcPr>
            <w:tcW w:type="dxa" w:w="1747"/>
          </w:tcPr>
          <w:p>
            <w:r>
              <w:rPr>
                <w:rFonts w:ascii="Arial" w:hAnsi="Arial"/>
                <w:sz w:val="16"/>
              </w:rPr>
              <w:t>Literature review và bibliometric analysis về ML trong phát hiện gian lận tài chính.</w:t>
            </w:r>
          </w:p>
        </w:tc>
        <w:tc>
          <w:tcPr>
            <w:tcW w:type="dxa" w:w="1747"/>
          </w:tcPr>
          <w:p>
            <w:r>
              <w:rPr>
                <w:rFonts w:ascii="Arial" w:hAnsi="Arial"/>
                <w:sz w:val="16"/>
              </w:rPr>
              <w:t>Nature Portfolio, xuất bản 2024, phạm vi 2012-2023.</w:t>
            </w:r>
          </w:p>
        </w:tc>
        <w:tc>
          <w:tcPr>
            <w:tcW w:type="dxa" w:w="1747"/>
          </w:tcPr>
          <w:p>
            <w:r>
              <w:rPr>
                <w:rFonts w:ascii="Arial" w:hAnsi="Arial"/>
                <w:sz w:val="16"/>
              </w:rPr>
              <w:t>5</w:t>
            </w:r>
          </w:p>
        </w:tc>
      </w:tr>
      <w:tr>
        <w:tc>
          <w:tcPr>
            <w:tcW w:type="dxa" w:w="1747"/>
          </w:tcPr>
          <w:p>
            <w:r>
              <w:rPr>
                <w:rFonts w:ascii="Arial" w:hAnsi="Arial"/>
                <w:sz w:val="16"/>
              </w:rPr>
              <w:t>3</w:t>
            </w:r>
          </w:p>
        </w:tc>
        <w:tc>
          <w:tcPr>
            <w:tcW w:type="dxa" w:w="1747"/>
          </w:tcPr>
          <w:p>
            <w:r>
              <w:rPr>
                <w:rFonts w:ascii="Arial" w:hAnsi="Arial"/>
                <w:sz w:val="16"/>
              </w:rPr>
              <w:t>Naqvi (2026)</w:t>
            </w:r>
          </w:p>
        </w:tc>
        <w:tc>
          <w:tcPr>
            <w:tcW w:type="dxa" w:w="1747"/>
          </w:tcPr>
          <w:p>
            <w:r>
              <w:rPr>
                <w:rFonts w:ascii="Arial" w:hAnsi="Arial"/>
                <w:sz w:val="16"/>
              </w:rPr>
              <w:t>Bài báo khoa học</w:t>
            </w:r>
          </w:p>
        </w:tc>
        <w:tc>
          <w:tcPr>
            <w:tcW w:type="dxa" w:w="1747"/>
          </w:tcPr>
          <w:p>
            <w:r>
              <w:rPr>
                <w:rFonts w:ascii="Arial" w:hAnsi="Arial"/>
                <w:sz w:val="16"/>
              </w:rPr>
              <w:t>Systematic review về fraud detection trong giao dịch tài chính 2020-2025.</w:t>
            </w:r>
          </w:p>
        </w:tc>
        <w:tc>
          <w:tcPr>
            <w:tcW w:type="dxa" w:w="1747"/>
          </w:tcPr>
          <w:p>
            <w:r>
              <w:rPr>
                <w:rFonts w:ascii="Arial" w:hAnsi="Arial"/>
                <w:sz w:val="16"/>
              </w:rPr>
              <w:t>Nguồn mới, có DOI, hữu ích cho xu hướng class imbalance và explainable AI.</w:t>
            </w:r>
          </w:p>
        </w:tc>
        <w:tc>
          <w:tcPr>
            <w:tcW w:type="dxa" w:w="1747"/>
          </w:tcPr>
          <w:p>
            <w:r>
              <w:rPr>
                <w:rFonts w:ascii="Arial" w:hAnsi="Arial"/>
                <w:sz w:val="16"/>
              </w:rPr>
              <w:t>4</w:t>
            </w:r>
          </w:p>
        </w:tc>
      </w:tr>
      <w:tr>
        <w:tc>
          <w:tcPr>
            <w:tcW w:type="dxa" w:w="1747"/>
          </w:tcPr>
          <w:p>
            <w:r>
              <w:rPr>
                <w:rFonts w:ascii="Arial" w:hAnsi="Arial"/>
                <w:sz w:val="16"/>
              </w:rPr>
              <w:t>4</w:t>
            </w:r>
          </w:p>
        </w:tc>
        <w:tc>
          <w:tcPr>
            <w:tcW w:type="dxa" w:w="1747"/>
          </w:tcPr>
          <w:p>
            <w:r>
              <w:rPr>
                <w:rFonts w:ascii="Arial" w:hAnsi="Arial"/>
                <w:sz w:val="16"/>
              </w:rPr>
              <w:t>Soria Quijaite et al. (2024)</w:t>
            </w:r>
          </w:p>
        </w:tc>
        <w:tc>
          <w:tcPr>
            <w:tcW w:type="dxa" w:w="1747"/>
          </w:tcPr>
          <w:p>
            <w:r>
              <w:rPr>
                <w:rFonts w:ascii="Arial" w:hAnsi="Arial"/>
                <w:sz w:val="16"/>
              </w:rPr>
              <w:t>Kỷ yếu khoa học</w:t>
            </w:r>
          </w:p>
        </w:tc>
        <w:tc>
          <w:tcPr>
            <w:tcW w:type="dxa" w:w="1747"/>
          </w:tcPr>
          <w:p>
            <w:r>
              <w:rPr>
                <w:rFonts w:ascii="Arial" w:hAnsi="Arial"/>
                <w:sz w:val="16"/>
              </w:rPr>
              <w:t>Tổng quan hệ thống về mô hình ML phát hiện rửa tiền trong tổ chức tài chính.</w:t>
            </w:r>
          </w:p>
        </w:tc>
        <w:tc>
          <w:tcPr>
            <w:tcW w:type="dxa" w:w="1747"/>
          </w:tcPr>
          <w:p>
            <w:r>
              <w:rPr>
                <w:rFonts w:ascii="Arial" w:hAnsi="Arial"/>
                <w:sz w:val="16"/>
              </w:rPr>
              <w:t>Có DOI, dùng Scopus và Web of Science, nhưng là kỷ yếu nên xếp dưới tạp chí.</w:t>
            </w:r>
          </w:p>
        </w:tc>
        <w:tc>
          <w:tcPr>
            <w:tcW w:type="dxa" w:w="1747"/>
          </w:tcPr>
          <w:p>
            <w:r>
              <w:rPr>
                <w:rFonts w:ascii="Arial" w:hAnsi="Arial"/>
                <w:sz w:val="16"/>
              </w:rPr>
              <w:t>4</w:t>
            </w:r>
          </w:p>
        </w:tc>
      </w:tr>
      <w:tr>
        <w:tc>
          <w:tcPr>
            <w:tcW w:type="dxa" w:w="1747"/>
          </w:tcPr>
          <w:p>
            <w:r>
              <w:rPr>
                <w:rFonts w:ascii="Arial" w:hAnsi="Arial"/>
                <w:sz w:val="16"/>
              </w:rPr>
              <w:t>5</w:t>
            </w:r>
          </w:p>
        </w:tc>
        <w:tc>
          <w:tcPr>
            <w:tcW w:type="dxa" w:w="1747"/>
          </w:tcPr>
          <w:p>
            <w:r>
              <w:rPr>
                <w:rFonts w:ascii="Arial" w:hAnsi="Arial"/>
                <w:sz w:val="16"/>
              </w:rPr>
              <w:t>Kuruwitaarachchi et al. (2019)</w:t>
            </w:r>
          </w:p>
        </w:tc>
        <w:tc>
          <w:tcPr>
            <w:tcW w:type="dxa" w:w="1747"/>
          </w:tcPr>
          <w:p>
            <w:r>
              <w:rPr>
                <w:rFonts w:ascii="Arial" w:hAnsi="Arial"/>
                <w:sz w:val="16"/>
              </w:rPr>
              <w:t>Bài hội nghị IEEE</w:t>
            </w:r>
          </w:p>
        </w:tc>
        <w:tc>
          <w:tcPr>
            <w:tcW w:type="dxa" w:w="1747"/>
          </w:tcPr>
          <w:p>
            <w:r>
              <w:rPr>
                <w:rFonts w:ascii="Arial" w:hAnsi="Arial"/>
                <w:sz w:val="16"/>
              </w:rPr>
              <w:t>Nghiên cứu phát hiện gian lận thẻ tín dụng theo thời gian thực.</w:t>
            </w:r>
          </w:p>
        </w:tc>
        <w:tc>
          <w:tcPr>
            <w:tcW w:type="dxa" w:w="1747"/>
          </w:tcPr>
          <w:p>
            <w:r>
              <w:rPr>
                <w:rFonts w:ascii="Arial" w:hAnsi="Arial"/>
                <w:sz w:val="16"/>
              </w:rPr>
              <w:t>IEEE conference, có DOI, liên quan trực tiếp nhưng không còn quá mới.</w:t>
            </w:r>
          </w:p>
        </w:tc>
        <w:tc>
          <w:tcPr>
            <w:tcW w:type="dxa" w:w="1747"/>
          </w:tcPr>
          <w:p>
            <w:r>
              <w:rPr>
                <w:rFonts w:ascii="Arial" w:hAnsi="Arial"/>
                <w:sz w:val="16"/>
              </w:rPr>
              <w:t>4</w:t>
            </w:r>
          </w:p>
        </w:tc>
      </w:tr>
      <w:tr>
        <w:tc>
          <w:tcPr>
            <w:tcW w:type="dxa" w:w="1747"/>
          </w:tcPr>
          <w:p>
            <w:r>
              <w:rPr>
                <w:rFonts w:ascii="Arial" w:hAnsi="Arial"/>
                <w:sz w:val="16"/>
              </w:rPr>
              <w:t>6</w:t>
            </w:r>
          </w:p>
        </w:tc>
        <w:tc>
          <w:tcPr>
            <w:tcW w:type="dxa" w:w="1747"/>
          </w:tcPr>
          <w:p>
            <w:r>
              <w:rPr>
                <w:rFonts w:ascii="Arial" w:hAnsi="Arial"/>
                <w:sz w:val="16"/>
              </w:rPr>
              <w:t>Sailusha et al. (2020)</w:t>
            </w:r>
          </w:p>
        </w:tc>
        <w:tc>
          <w:tcPr>
            <w:tcW w:type="dxa" w:w="1747"/>
          </w:tcPr>
          <w:p>
            <w:r>
              <w:rPr>
                <w:rFonts w:ascii="Arial" w:hAnsi="Arial"/>
                <w:sz w:val="16"/>
              </w:rPr>
              <w:t>Bài hội nghị IEEE</w:t>
            </w:r>
          </w:p>
        </w:tc>
        <w:tc>
          <w:tcPr>
            <w:tcW w:type="dxa" w:w="1747"/>
          </w:tcPr>
          <w:p>
            <w:r>
              <w:rPr>
                <w:rFonts w:ascii="Arial" w:hAnsi="Arial"/>
                <w:sz w:val="16"/>
              </w:rPr>
              <w:t>So sánh thuật toán ML cho phát hiện gian lận thẻ tín dụng.</w:t>
            </w:r>
          </w:p>
        </w:tc>
        <w:tc>
          <w:tcPr>
            <w:tcW w:type="dxa" w:w="1747"/>
          </w:tcPr>
          <w:p>
            <w:r>
              <w:rPr>
                <w:rFonts w:ascii="Arial" w:hAnsi="Arial"/>
                <w:sz w:val="16"/>
              </w:rPr>
              <w:t>Có thông tin hội nghị và trang bài, phù hợp làm ví dụ mô hình thực nghiệm.</w:t>
            </w:r>
          </w:p>
        </w:tc>
        <w:tc>
          <w:tcPr>
            <w:tcW w:type="dxa" w:w="1747"/>
          </w:tcPr>
          <w:p>
            <w:r>
              <w:rPr>
                <w:rFonts w:ascii="Arial" w:hAnsi="Arial"/>
                <w:sz w:val="16"/>
              </w:rPr>
              <w:t>4</w:t>
            </w:r>
          </w:p>
        </w:tc>
      </w:tr>
      <w:tr>
        <w:tc>
          <w:tcPr>
            <w:tcW w:type="dxa" w:w="1747"/>
          </w:tcPr>
          <w:p>
            <w:r>
              <w:rPr>
                <w:rFonts w:ascii="Arial" w:hAnsi="Arial"/>
                <w:sz w:val="16"/>
              </w:rPr>
              <w:t>7</w:t>
            </w:r>
          </w:p>
        </w:tc>
        <w:tc>
          <w:tcPr>
            <w:tcW w:type="dxa" w:w="1747"/>
          </w:tcPr>
          <w:p>
            <w:r>
              <w:rPr>
                <w:rFonts w:ascii="Arial" w:hAnsi="Arial"/>
                <w:sz w:val="16"/>
              </w:rPr>
              <w:t>Dal Pozzolo et al. (2015)</w:t>
            </w:r>
          </w:p>
        </w:tc>
        <w:tc>
          <w:tcPr>
            <w:tcW w:type="dxa" w:w="1747"/>
          </w:tcPr>
          <w:p>
            <w:r>
              <w:rPr>
                <w:rFonts w:ascii="Arial" w:hAnsi="Arial"/>
                <w:sz w:val="16"/>
              </w:rPr>
              <w:t>Bài hội nghị khoa học</w:t>
            </w:r>
          </w:p>
        </w:tc>
        <w:tc>
          <w:tcPr>
            <w:tcW w:type="dxa" w:w="1747"/>
          </w:tcPr>
          <w:p>
            <w:r>
              <w:rPr>
                <w:rFonts w:ascii="Arial" w:hAnsi="Arial"/>
                <w:sz w:val="16"/>
              </w:rPr>
              <w:t>Xử lý mất cân bằng dữ liệu và hiệu chỉnh xác suất trong credit card fraud detection.</w:t>
            </w:r>
          </w:p>
        </w:tc>
        <w:tc>
          <w:tcPr>
            <w:tcW w:type="dxa" w:w="1747"/>
          </w:tcPr>
          <w:p>
            <w:r>
              <w:rPr>
                <w:rFonts w:ascii="Arial" w:hAnsi="Arial"/>
                <w:sz w:val="16"/>
              </w:rPr>
              <w:t>Được trích dẫn nhiều, phương pháp rõ, nhưng dữ liệu và thời điểm nghiên cứu cũ.</w:t>
            </w:r>
          </w:p>
        </w:tc>
        <w:tc>
          <w:tcPr>
            <w:tcW w:type="dxa" w:w="1747"/>
          </w:tcPr>
          <w:p>
            <w:r>
              <w:rPr>
                <w:rFonts w:ascii="Arial" w:hAnsi="Arial"/>
                <w:sz w:val="16"/>
              </w:rPr>
              <w:t>4</w:t>
            </w:r>
          </w:p>
        </w:tc>
      </w:tr>
      <w:tr>
        <w:tc>
          <w:tcPr>
            <w:tcW w:type="dxa" w:w="1747"/>
          </w:tcPr>
          <w:p>
            <w:r>
              <w:rPr>
                <w:rFonts w:ascii="Arial" w:hAnsi="Arial"/>
                <w:sz w:val="16"/>
              </w:rPr>
              <w:t>8</w:t>
            </w:r>
          </w:p>
        </w:tc>
        <w:tc>
          <w:tcPr>
            <w:tcW w:type="dxa" w:w="1747"/>
          </w:tcPr>
          <w:p>
            <w:r>
              <w:rPr>
                <w:rFonts w:ascii="Arial" w:hAnsi="Arial"/>
                <w:sz w:val="16"/>
              </w:rPr>
              <w:t>Lebichot et al. (2021)</w:t>
            </w:r>
          </w:p>
        </w:tc>
        <w:tc>
          <w:tcPr>
            <w:tcW w:type="dxa" w:w="1747"/>
          </w:tcPr>
          <w:p>
            <w:r>
              <w:rPr>
                <w:rFonts w:ascii="Arial" w:hAnsi="Arial"/>
                <w:sz w:val="16"/>
              </w:rPr>
              <w:t>Sách chuyên khảo mở</w:t>
            </w:r>
          </w:p>
        </w:tc>
        <w:tc>
          <w:tcPr>
            <w:tcW w:type="dxa" w:w="1747"/>
          </w:tcPr>
          <w:p>
            <w:r>
              <w:rPr>
                <w:rFonts w:ascii="Arial" w:hAnsi="Arial"/>
                <w:sz w:val="16"/>
              </w:rPr>
              <w:t>Fraud Detection Handbook hướng dẫn bài toán CCFD, dữ liệu, mô hình và đánh giá.</w:t>
            </w:r>
          </w:p>
        </w:tc>
        <w:tc>
          <w:tcPr>
            <w:tcW w:type="dxa" w:w="1747"/>
          </w:tcPr>
          <w:p>
            <w:r>
              <w:rPr>
                <w:rFonts w:ascii="Arial" w:hAnsi="Arial"/>
                <w:sz w:val="16"/>
              </w:rPr>
              <w:t>Sách mở, có mã nguồn minh họa, rất hữu ích cho thực hành và kiểm chứng.</w:t>
            </w:r>
          </w:p>
        </w:tc>
        <w:tc>
          <w:tcPr>
            <w:tcW w:type="dxa" w:w="1747"/>
          </w:tcPr>
          <w:p>
            <w:r>
              <w:rPr>
                <w:rFonts w:ascii="Arial" w:hAnsi="Arial"/>
                <w:sz w:val="16"/>
              </w:rPr>
              <w:t>4</w:t>
            </w:r>
          </w:p>
        </w:tc>
      </w:tr>
      <w:tr>
        <w:tc>
          <w:tcPr>
            <w:tcW w:type="dxa" w:w="1747"/>
          </w:tcPr>
          <w:p>
            <w:r>
              <w:rPr>
                <w:rFonts w:ascii="Arial" w:hAnsi="Arial"/>
                <w:sz w:val="16"/>
              </w:rPr>
              <w:t>9</w:t>
            </w:r>
          </w:p>
        </w:tc>
        <w:tc>
          <w:tcPr>
            <w:tcW w:type="dxa" w:w="1747"/>
          </w:tcPr>
          <w:p>
            <w:r>
              <w:rPr>
                <w:rFonts w:ascii="Arial" w:hAnsi="Arial"/>
                <w:sz w:val="16"/>
              </w:rPr>
              <w:t>Baesens, Van Vlasselaer &amp; Verbeke (2015)</w:t>
            </w:r>
          </w:p>
        </w:tc>
        <w:tc>
          <w:tcPr>
            <w:tcW w:type="dxa" w:w="1747"/>
          </w:tcPr>
          <w:p>
            <w:r>
              <w:rPr>
                <w:rFonts w:ascii="Arial" w:hAnsi="Arial"/>
                <w:sz w:val="16"/>
              </w:rPr>
              <w:t>Sách chuyên khảo</w:t>
            </w:r>
          </w:p>
        </w:tc>
        <w:tc>
          <w:tcPr>
            <w:tcW w:type="dxa" w:w="1747"/>
          </w:tcPr>
          <w:p>
            <w:r>
              <w:rPr>
                <w:rFonts w:ascii="Arial" w:hAnsi="Arial"/>
                <w:sz w:val="16"/>
              </w:rPr>
              <w:t>Fraud Analytics trình bày kỹ thuật mô tả, dự đoán và mạng xã hội cho phát hiện gian lận.</w:t>
            </w:r>
          </w:p>
        </w:tc>
        <w:tc>
          <w:tcPr>
            <w:tcW w:type="dxa" w:w="1747"/>
          </w:tcPr>
          <w:p>
            <w:r>
              <w:rPr>
                <w:rFonts w:ascii="Arial" w:hAnsi="Arial"/>
                <w:sz w:val="16"/>
              </w:rPr>
              <w:t>Sách chuyên khảo của Wiley, nền tảng tốt nhưng không cập nhật các mô hình mới.</w:t>
            </w:r>
          </w:p>
        </w:tc>
        <w:tc>
          <w:tcPr>
            <w:tcW w:type="dxa" w:w="1747"/>
          </w:tcPr>
          <w:p>
            <w:r>
              <w:rPr>
                <w:rFonts w:ascii="Arial" w:hAnsi="Arial"/>
                <w:sz w:val="16"/>
              </w:rPr>
              <w:t>4</w:t>
            </w:r>
          </w:p>
        </w:tc>
      </w:tr>
      <w:tr>
        <w:tc>
          <w:tcPr>
            <w:tcW w:type="dxa" w:w="1747"/>
          </w:tcPr>
          <w:p>
            <w:r>
              <w:rPr>
                <w:rFonts w:ascii="Arial" w:hAnsi="Arial"/>
                <w:sz w:val="16"/>
              </w:rPr>
              <w:t>10</w:t>
            </w:r>
          </w:p>
        </w:tc>
        <w:tc>
          <w:tcPr>
            <w:tcW w:type="dxa" w:w="1747"/>
          </w:tcPr>
          <w:p>
            <w:r>
              <w:rPr>
                <w:rFonts w:ascii="Arial" w:hAnsi="Arial"/>
                <w:sz w:val="16"/>
              </w:rPr>
              <w:t>Kaggle Credit Card Fraud Detection Dataset</w:t>
            </w:r>
          </w:p>
        </w:tc>
        <w:tc>
          <w:tcPr>
            <w:tcW w:type="dxa" w:w="1747"/>
          </w:tcPr>
          <w:p>
            <w:r>
              <w:rPr>
                <w:rFonts w:ascii="Arial" w:hAnsi="Arial"/>
                <w:sz w:val="16"/>
              </w:rPr>
              <w:t>Nguồn mở internet</w:t>
            </w:r>
          </w:p>
        </w:tc>
        <w:tc>
          <w:tcPr>
            <w:tcW w:type="dxa" w:w="1747"/>
          </w:tcPr>
          <w:p>
            <w:r>
              <w:rPr>
                <w:rFonts w:ascii="Arial" w:hAnsi="Arial"/>
                <w:sz w:val="16"/>
              </w:rPr>
              <w:t>Bộ dữ liệu giao dịch thẻ tín dụng ẩn danh thường dùng để thử nghiệm mô hình.</w:t>
            </w:r>
          </w:p>
        </w:tc>
        <w:tc>
          <w:tcPr>
            <w:tcW w:type="dxa" w:w="1747"/>
          </w:tcPr>
          <w:p>
            <w:r>
              <w:rPr>
                <w:rFonts w:ascii="Arial" w:hAnsi="Arial"/>
                <w:sz w:val="16"/>
              </w:rPr>
              <w:t>Dễ truy cập và tái lập, nhưng không phải bài nghiên cứu nên độ tin cậy học thuật thấp hơn.</w:t>
            </w:r>
          </w:p>
        </w:tc>
        <w:tc>
          <w:tcPr>
            <w:tcW w:type="dxa" w:w="1747"/>
          </w:tcPr>
          <w:p>
            <w:r>
              <w:rPr>
                <w:rFonts w:ascii="Arial" w:hAnsi="Arial"/>
                <w:sz w:val="16"/>
              </w:rPr>
              <w:t>3</w:t>
            </w:r>
          </w:p>
        </w:tc>
      </w:tr>
    </w:tbl>
    <w:p>
      <w:pPr>
        <w:pStyle w:val="Heading1"/>
      </w:pPr>
      <w:r>
        <w:t>4. Nhận xét và xếp hạng độ tin cậy</w:t>
      </w:r>
    </w:p>
    <w:p>
      <w:r>
        <w:t>Nhóm nguồn có độ tin cậy cao nhất là các bài tổng quan hệ thống và literature review được xuất bản trên tạp chí có quy trình phản biện. Các nguồn như Ali et al. (2022) và Hernandez Aros et al. (2024) được xếp hạng 5 vì có phạm vi nghiên cứu rộng, phương pháp tổng hợp rõ và thông tin cập nhật. Những nguồn này phù hợp để xây dựng nền tảng lý thuyết và xác định các vấn đề chính như mất cân bằng dữ liệu, đánh giá mô hình, tính giải thích và thay đổi hành vi gian lận theo thời gian.</w:t>
      </w:r>
    </w:p>
    <w:p>
      <w:r>
        <w:t>Các bài hội nghị IEEE và kỷ yếu khoa học được xếp hạng 4 vì có tính học thuật và thường mô tả mô hình thực nghiệm cụ thể. Tuy nhiên, một số bài có phạm vi hẹp hoặc dữ liệu cũ nên cần dùng cùng với các bài tổng quan mới hơn. Sách chuyên khảo cũng được xếp hạng 4 vì có giá trị nền tảng và hướng dẫn thực hành, nhưng không phải lúc nào cũng phản ánh các mô hình mới nhất.</w:t>
      </w:r>
    </w:p>
    <w:p>
      <w:r>
        <w:t>Nguồn mở như Kaggle được xếp hạng 3. Bộ dữ liệu này rất hữu ích để thử nghiệm mô hình học máy và minh họa vấn đề class imbalance, nhưng cần thận trọng khi dùng để kết luận học thuật vì dữ liệu đã được ẩn danh, không đại diện đầy đủ cho mọi hệ thống tài chính thực tế và không phải nguồn nghiên cứu phản biện.</w:t>
      </w:r>
    </w:p>
    <w:p>
      <w:pPr>
        <w:pStyle w:val="Heading1"/>
      </w:pPr>
      <w:r>
        <w:t>5. Kết luận</w:t>
      </w:r>
    </w:p>
    <w:p>
      <w:r>
        <w:t>Qua quá trình tìm kiếm, tôi thu thập được 10 tài liệu liên quan, trong đó có hơn 5 bài báo khoa học và đủ các nhóm nguồn theo yêu cầu. Chủ đề học máy trong phát hiện gian lận tài chính có tính phù hợp cao với ngành Khoa học dữ liệu vì đòi hỏi kỹ năng thu thập dữ liệu, xử lý mất cân bằng lớp, lựa chọn mô hình, đánh giá kết quả và xem xét yếu tố đạo đức. Nguồn đáng tin cậy nhất là các bài tổng quan hệ thống mới, sau đó là bài hội nghị, sách chuyên khảo và nguồn dữ liệu mở dùng để thực hành.</w:t>
      </w:r>
    </w:p>
    <w:p>
      <w:pPr>
        <w:pStyle w:val="Heading1"/>
      </w:pPr>
      <w:r>
        <w:t>Danh mục tài liệu tham khảo</w:t>
      </w:r>
    </w:p>
    <w:p>
      <w:pPr>
        <w:spacing w:after="60"/>
        <w:ind w:hanging="283" w:left="283"/>
      </w:pPr>
      <w:r>
        <w:t>Ali, A., Razak, S.A., Othman, S.H., Eisa, T.A.E., Al-Dhaqm, A., Nasser, M., Elhassan, T., Elshafie, H. and Saif, A. (2022) 'Financial fraud detection based on machine learning: a systematic literature review', Applied Sciences, 12(19), 9637. Available at: https://doi.org/10.3390/app12199637.</w:t>
      </w:r>
    </w:p>
    <w:p>
      <w:pPr>
        <w:spacing w:after="60"/>
        <w:ind w:hanging="283" w:left="283"/>
      </w:pPr>
      <w:r>
        <w:t>Hernandez Aros, L., Bustamante Molano, L.X., Gutierrez-Portela, F., Moreno Hernandez, J.J. and Rodriguez Barrero, M.S. (2024) 'Financial fraud detection through the application of machine learning techniques: a literature review', Humanities and Social Sciences Communications, 11, 1130. Available at: https://www.nature.com/articles/s41599-024-03606-0.</w:t>
      </w:r>
    </w:p>
    <w:p>
      <w:pPr>
        <w:spacing w:after="60"/>
        <w:ind w:hanging="283" w:left="283"/>
      </w:pPr>
      <w:r>
        <w:t>Naqvi, S.H. (2026) 'Fraud detection using machine learning in financial transactions: a systematic review', Veredas do Direito, 23(2). Available at: https://doi.org/10.18623/rvd.v23.n2.4187.</w:t>
      </w:r>
    </w:p>
    <w:p>
      <w:pPr>
        <w:spacing w:after="60"/>
        <w:ind w:hanging="283" w:left="283"/>
      </w:pPr>
      <w:r>
        <w:t>Soria Quijaite, J.J., Segura Pena, L.V. and Loayza Abal, R.I. (2024) 'Machine learning models for money laundering detection in financial institutions: a systematic literature review', LACCEI Proceedings. Available at: https://doi.org/10.18687/LACCEI2024.1.1.1682.</w:t>
      </w:r>
    </w:p>
    <w:p>
      <w:pPr>
        <w:spacing w:after="60"/>
        <w:ind w:hanging="283" w:left="283"/>
      </w:pPr>
      <w:r>
        <w:t>Kuruwitaarachchi, N., Fernando, M., Seneviratne, A. and Kuruwitaarachchi, D. (2019) 'Real-time credit card fraud detection using machine learning', 2019 9th International Conference on Cloud Computing, Data Science &amp; Engineering, pp. 488-493. Available at: https://doi.org/10.1109/CONFLUENCE.2019.8776942.</w:t>
      </w:r>
    </w:p>
    <w:p>
      <w:pPr>
        <w:spacing w:after="60"/>
        <w:ind w:hanging="283" w:left="283"/>
      </w:pPr>
      <w:r>
        <w:t>Sailusha, R., Gnaneswar, V., Ramesh, R. and Rao, G.R. (2020) 'Credit card fraud detection using machine learning', 2020 4th International Conference on Intelligent Computing and Control Systems, pp. 1264-1270.</w:t>
      </w:r>
    </w:p>
    <w:p>
      <w:pPr>
        <w:spacing w:after="60"/>
        <w:ind w:hanging="283" w:left="283"/>
      </w:pPr>
      <w:r>
        <w:t>Dal Pozzolo, A., Caelen, O., Johnson, R.A. and Bontempi, G. (2015) 'Calibrating probability with undersampling for unbalanced classification', IEEE Symposium Series on Computational Intelligence.</w:t>
      </w:r>
    </w:p>
    <w:p>
      <w:pPr>
        <w:spacing w:after="60"/>
        <w:ind w:hanging="283" w:left="283"/>
      </w:pPr>
      <w:r>
        <w:t>Lebichot, B., Paldino, G., Le Borgne, Y.A., He-Guelton, L., Oblé, F. and Bontempi, G. (2021) Fraud Detection Handbook. Available at: https://fraud-detection-handbook.github.io/fraud-detection-handbook/.</w:t>
      </w:r>
    </w:p>
    <w:p>
      <w:pPr>
        <w:spacing w:after="60"/>
        <w:ind w:hanging="283" w:left="283"/>
      </w:pPr>
      <w:r>
        <w:t>Baesens, B., Van Vlasselaer, V. and Verbeke, W. (2015) Fraud Analytics Using Descriptive, Predictive, and Social Network Techniques. Hoboken: Wiley.</w:t>
      </w:r>
    </w:p>
    <w:p>
      <w:pPr>
        <w:spacing w:after="60"/>
        <w:ind w:hanging="283" w:left="283"/>
      </w:pPr>
      <w:r>
        <w:t>Kaggle (2016) Credit Card Fraud Detection Dataset. Available at: https://www.kaggle.com/datasets/mlg-ulb/creditcardfraud.</w:t>
      </w:r>
    </w:p>
    <w:sectPr w:rsidR="00FC693F" w:rsidRPr="0006063C" w:rsidSect="00034616">
      <w:pgSz w:w="12240" w:h="15840"/>
      <w:pgMar w:top="907" w:right="879" w:bottom="850"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527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527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