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34251" w14:textId="28E6B395" w:rsidR="00F4473F" w:rsidRPr="008D17A0" w:rsidRDefault="0096040F" w:rsidP="008D17A0">
      <w:pPr>
        <w:jc w:val="both"/>
        <w:rPr>
          <w:rFonts w:ascii="Times New Roman" w:hAnsi="Times New Roman" w:cs="Times New Roman"/>
          <w:sz w:val="24"/>
          <w:szCs w:val="24"/>
        </w:rPr>
      </w:pPr>
      <w:r w:rsidRPr="008D17A0">
        <w:rPr>
          <w:rFonts w:ascii="Times New Roman" w:hAnsi="Times New Roman" w:cs="Times New Roman"/>
          <w:sz w:val="24"/>
          <w:szCs w:val="24"/>
        </w:rPr>
        <w:t>Penelitian oleh Sezgin dkk. (2025) membandingkan kinerja model RNN, LSTM, dan GRU dalam memprediksi harga saham sektor penerbangan menggunakan data harga penutupan harian periode 2020–2022 dengan pendekatan sliding window dan optimasi hyperparameter berbasis Bayesian Optimization. Hasil penelitian menunjukkan bahwa model GRU memberikan performa terbaik dengan nilai MAPE sebesar 3,05% dan RMSE sebesar 3,195 pada saham THYAO, serta MAPE sebesar 3,97% dan RMSE sebesar 3,232 pada saham PGSUS, lebih unggul dibandingkan LSTM (MAPE 3,65%; RMSE 3,933) dan RNN (MAPE 9,06%; RMSE 8,712). Keunggulan GRU dipengaruhi oleh struktur yang lebih sederhana sehingga lebih efisien dan stabil pada dataset terbatas, meskipun peningkatan akibat optimasi hyperparameter tidak selalu signifikan. Namun, penelitian ini masih terbatas karena hanya menggunakan variabel harga penutupan tanpa mempertimbangkan faktor lain seperti indikator teknikal dan variabel makroekonomi, sehingga pengembangan selanjutnya perlu mengintegrasikan data yang lebih beragam untuk meningkatkan akurasi model.</w:t>
      </w:r>
    </w:p>
    <w:p w14:paraId="4F8C779D" w14:textId="77777777" w:rsidR="0096040F" w:rsidRPr="008D17A0" w:rsidRDefault="0096040F" w:rsidP="008D17A0">
      <w:pPr>
        <w:jc w:val="both"/>
        <w:rPr>
          <w:rFonts w:ascii="Times New Roman" w:hAnsi="Times New Roman" w:cs="Times New Roman"/>
          <w:sz w:val="24"/>
          <w:szCs w:val="24"/>
        </w:rPr>
      </w:pPr>
    </w:p>
    <w:p w14:paraId="4EE69C43" w14:textId="074EFC8D" w:rsidR="0096040F" w:rsidRPr="008D17A0" w:rsidRDefault="008D17A0" w:rsidP="008D17A0">
      <w:pPr>
        <w:jc w:val="both"/>
        <w:rPr>
          <w:rFonts w:ascii="Times New Roman" w:hAnsi="Times New Roman" w:cs="Times New Roman"/>
          <w:sz w:val="24"/>
          <w:szCs w:val="24"/>
          <w:highlight w:val="yellow"/>
        </w:rPr>
      </w:pPr>
      <w:r w:rsidRPr="008D17A0">
        <w:rPr>
          <w:rFonts w:ascii="Times New Roman" w:hAnsi="Times New Roman" w:cs="Times New Roman"/>
          <w:sz w:val="24"/>
          <w:szCs w:val="24"/>
          <w:highlight w:val="yellow"/>
        </w:rPr>
        <w:t>Penelitian oleh Bernadectus Yudi Dwiandiyanta mengembangkan model prediksi harga saham berbasis hybrid deep learning dengan mengombinasikan Recurrent Neural Network (RNN) dan Gated Recurrent Unit (GRU) yang memanfaatkan data historis (OHLC) serta indikator teknikal seperti MA, SMA, dan EMA. Pendekatan ini terbukti lebih unggul dibandingkan model tunggal, ditunjukkan oleh nilai koefisien determinasi (R²) yang tinggi hingga mendekati 0,99 serta penurunan nilai kesalahan prediksi (MSE dan RMSE), sehingga mampu merepresentasikan pola pergerakan pasar yang kompleks dan nonlinier secara lebih akurat. Meskipun demikian, model masih memiliki keterbatasan, terutama potensi overfitting dan belum dipertimbangkannya faktor eksternal seperti kondisi makroekonomi maupun sentimen pasar, sehingga diperlukan pengembangan lanjutan agar model lebih adaptif, stabil, dan relevan untuk implementasi dalam pengambilan keputusan investasi.</w:t>
      </w:r>
    </w:p>
    <w:p w14:paraId="47A68372" w14:textId="77777777" w:rsidR="008D17A0" w:rsidRPr="008D17A0" w:rsidRDefault="008D17A0" w:rsidP="008D17A0">
      <w:pPr>
        <w:jc w:val="both"/>
        <w:rPr>
          <w:rFonts w:ascii="Times New Roman" w:hAnsi="Times New Roman" w:cs="Times New Roman"/>
          <w:sz w:val="24"/>
          <w:szCs w:val="24"/>
          <w:highlight w:val="yellow"/>
        </w:rPr>
      </w:pPr>
    </w:p>
    <w:p w14:paraId="51CD9557" w14:textId="5B3013C6" w:rsidR="008D17A0" w:rsidRDefault="008D17A0" w:rsidP="008D17A0">
      <w:pPr>
        <w:jc w:val="both"/>
        <w:rPr>
          <w:rFonts w:ascii="Times New Roman" w:hAnsi="Times New Roman" w:cs="Times New Roman"/>
          <w:sz w:val="24"/>
          <w:szCs w:val="24"/>
        </w:rPr>
      </w:pPr>
      <w:r w:rsidRPr="008D17A0">
        <w:rPr>
          <w:rFonts w:ascii="Times New Roman" w:hAnsi="Times New Roman" w:cs="Times New Roman"/>
          <w:sz w:val="24"/>
          <w:szCs w:val="24"/>
          <w:highlight w:val="yellow"/>
        </w:rPr>
        <w:t xml:space="preserve">Penelitian yang dilakukan oleh Bernadectus Yudi Dwiandiyanta mengusulkan model hybrid berbasis deep learning yang mengombinasikan Recurrent Neural Network (RNN) dan Gated Recurrent Unit (GRU) untuk meningkatkan akurasi prediksi harga saham di Bursa Efek Indonesia. Model ini mengintegrasikan data historis berupa open, high, low, dan close (OHLC) dengan indikator teknikal seperti Moving Average (MA), Simple Moving Average (SMA), dan Exponential Moving Average (EMA), sehingga mampu menangkap pola temporal sekaligus sinyal teknikal pasar. Hasil pengujian menunjukkan bahwa pendekatan hybrid ini menghasilkan performa yang lebih baik dibandingkan model tunggal seperti RNN, GRU, maupun Long Short-Term Memory (LSTM), dengan nilai koefisien determinasi (R²) mencapai sekitar 0,98–0,99 serta penurunan nilai error seperti MSE dan RMSE secara signifikan. Hal ini menunjukkan bahwa kombinasi dua arsitektur mampu meningkatkan kemampuan model dalam merepresentasikan dinamika pasar yang kompleks dan nonlinier. Meskipun demikian, penelitian ini masih memiliki keterbatasan, terutama pada potensi overfitting yang terlihat dari perbedaan antara training loss dan validation loss, serta belum dimasukkannya variabel eksternal seperti faktor makroekonomi dan sentimen pasar yang dapat memengaruhi harga saham. Selain itu, model yang digunakan masih bersifat black-box sehingga interpretabilitasnya rendah dan belum diuji dalam skenario trading nyata. Oleh karena itu, pengembangan lebih lanjut diperlukan dengan menambahkan variabel eksternal, teknik </w:t>
      </w:r>
      <w:r w:rsidRPr="008D17A0">
        <w:rPr>
          <w:rFonts w:ascii="Times New Roman" w:hAnsi="Times New Roman" w:cs="Times New Roman"/>
          <w:sz w:val="24"/>
          <w:szCs w:val="24"/>
          <w:highlight w:val="yellow"/>
        </w:rPr>
        <w:lastRenderedPageBreak/>
        <w:t>regularisasi, serta evaluasi berbasis kinerja investasi agar model prediksi yang dihasilkan lebih robust dan aplikatif dalam pengambilan keputusan finansial.</w:t>
      </w:r>
    </w:p>
    <w:p w14:paraId="432A2175" w14:textId="77777777" w:rsidR="008D17A0" w:rsidRDefault="008D17A0" w:rsidP="008D17A0">
      <w:pPr>
        <w:jc w:val="both"/>
        <w:rPr>
          <w:rFonts w:ascii="Times New Roman" w:hAnsi="Times New Roman" w:cs="Times New Roman"/>
          <w:sz w:val="24"/>
          <w:szCs w:val="24"/>
        </w:rPr>
      </w:pPr>
    </w:p>
    <w:p w14:paraId="6DD2BC9F" w14:textId="32B86338" w:rsidR="008D17A0" w:rsidRDefault="008D17A0" w:rsidP="008D17A0">
      <w:pPr>
        <w:jc w:val="both"/>
        <w:rPr>
          <w:rFonts w:ascii="Times New Roman" w:hAnsi="Times New Roman" w:cs="Times New Roman"/>
          <w:sz w:val="24"/>
          <w:szCs w:val="24"/>
        </w:rPr>
      </w:pPr>
      <w:r w:rsidRPr="008D17A0">
        <w:rPr>
          <w:rFonts w:ascii="Times New Roman" w:hAnsi="Times New Roman" w:cs="Times New Roman"/>
          <w:sz w:val="24"/>
          <w:szCs w:val="24"/>
        </w:rPr>
        <w:t xml:space="preserve">Chen, Boukouvalas, dan Corizzo (2024) mengembangkan model prediksi saham berbasis </w:t>
      </w:r>
      <w:r w:rsidRPr="008D17A0">
        <w:rPr>
          <w:rFonts w:ascii="Times New Roman" w:hAnsi="Times New Roman" w:cs="Times New Roman"/>
          <w:i/>
          <w:iCs/>
          <w:sz w:val="24"/>
          <w:szCs w:val="24"/>
        </w:rPr>
        <w:t>deep fusion</w:t>
      </w:r>
      <w:r w:rsidRPr="008D17A0">
        <w:rPr>
          <w:rFonts w:ascii="Times New Roman" w:hAnsi="Times New Roman" w:cs="Times New Roman"/>
          <w:sz w:val="24"/>
          <w:szCs w:val="24"/>
        </w:rPr>
        <w:t xml:space="preserve"> yang mengintegrasikan data harga historis, indikator teknikal, dan sentimen berita keuangan guna meningkatkan ketepatan prediksi arah pasar. Model tersebut memanfaatkan </w:t>
      </w:r>
      <w:r w:rsidRPr="008D17A0">
        <w:rPr>
          <w:rFonts w:ascii="Times New Roman" w:hAnsi="Times New Roman" w:cs="Times New Roman"/>
          <w:b/>
          <w:bCs/>
          <w:sz w:val="24"/>
          <w:szCs w:val="24"/>
        </w:rPr>
        <w:t>LSTM</w:t>
      </w:r>
      <w:r w:rsidRPr="008D17A0">
        <w:rPr>
          <w:rFonts w:ascii="Times New Roman" w:hAnsi="Times New Roman" w:cs="Times New Roman"/>
          <w:sz w:val="24"/>
          <w:szCs w:val="24"/>
        </w:rPr>
        <w:t xml:space="preserve"> untuk mengenali pola deret waktu serta </w:t>
      </w:r>
      <w:r w:rsidRPr="008D17A0">
        <w:rPr>
          <w:rFonts w:ascii="Times New Roman" w:hAnsi="Times New Roman" w:cs="Times New Roman"/>
          <w:b/>
          <w:bCs/>
          <w:sz w:val="24"/>
          <w:szCs w:val="24"/>
        </w:rPr>
        <w:t>FinBERT</w:t>
      </w:r>
      <w:r w:rsidRPr="008D17A0">
        <w:rPr>
          <w:rFonts w:ascii="Times New Roman" w:hAnsi="Times New Roman" w:cs="Times New Roman"/>
          <w:sz w:val="24"/>
          <w:szCs w:val="24"/>
        </w:rPr>
        <w:t xml:space="preserve"> untuk mengekstraksi sentimen dari judul berita, kemudian kedua keluaran digabungkan dalam arsitektur multimodal. Pengujian pada 12 saham dalam kondisi </w:t>
      </w:r>
      <w:r w:rsidRPr="008D17A0">
        <w:rPr>
          <w:rFonts w:ascii="Times New Roman" w:hAnsi="Times New Roman" w:cs="Times New Roman"/>
          <w:i/>
          <w:iCs/>
          <w:sz w:val="24"/>
          <w:szCs w:val="24"/>
        </w:rPr>
        <w:t>uptrend</w:t>
      </w:r>
      <w:r w:rsidRPr="008D17A0">
        <w:rPr>
          <w:rFonts w:ascii="Times New Roman" w:hAnsi="Times New Roman" w:cs="Times New Roman"/>
          <w:sz w:val="24"/>
          <w:szCs w:val="24"/>
        </w:rPr>
        <w:t xml:space="preserve"> dan </w:t>
      </w:r>
      <w:r w:rsidRPr="008D17A0">
        <w:rPr>
          <w:rFonts w:ascii="Times New Roman" w:hAnsi="Times New Roman" w:cs="Times New Roman"/>
          <w:i/>
          <w:iCs/>
          <w:sz w:val="24"/>
          <w:szCs w:val="24"/>
        </w:rPr>
        <w:t>downtrend</w:t>
      </w:r>
      <w:r w:rsidRPr="008D17A0">
        <w:rPr>
          <w:rFonts w:ascii="Times New Roman" w:hAnsi="Times New Roman" w:cs="Times New Roman"/>
          <w:sz w:val="24"/>
          <w:szCs w:val="24"/>
        </w:rPr>
        <w:t xml:space="preserve"> menunjukkan bahwa model ini memperoleh rata-rata </w:t>
      </w:r>
      <w:r w:rsidRPr="008D17A0">
        <w:rPr>
          <w:rFonts w:ascii="Times New Roman" w:hAnsi="Times New Roman" w:cs="Times New Roman"/>
          <w:b/>
          <w:bCs/>
          <w:sz w:val="24"/>
          <w:szCs w:val="24"/>
        </w:rPr>
        <w:t>F1-Score 0,4742</w:t>
      </w:r>
      <w:r w:rsidRPr="008D17A0">
        <w:rPr>
          <w:rFonts w:ascii="Times New Roman" w:hAnsi="Times New Roman" w:cs="Times New Roman"/>
          <w:sz w:val="24"/>
          <w:szCs w:val="24"/>
        </w:rPr>
        <w:t xml:space="preserve"> pada pasar naik dan </w:t>
      </w:r>
      <w:r w:rsidRPr="008D17A0">
        <w:rPr>
          <w:rFonts w:ascii="Times New Roman" w:hAnsi="Times New Roman" w:cs="Times New Roman"/>
          <w:b/>
          <w:bCs/>
          <w:sz w:val="24"/>
          <w:szCs w:val="24"/>
        </w:rPr>
        <w:t>0,4900</w:t>
      </w:r>
      <w:r w:rsidRPr="008D17A0">
        <w:rPr>
          <w:rFonts w:ascii="Times New Roman" w:hAnsi="Times New Roman" w:cs="Times New Roman"/>
          <w:sz w:val="24"/>
          <w:szCs w:val="24"/>
        </w:rPr>
        <w:t xml:space="preserve"> pada pasar turun, serta mampu melampaui beberapa metode pembanding seperti CNN-LSTM, GRU-CNN, dan CNN Seq2Seq. Dalam simulasi investasi, model juga memberikan hasil yang kompetitif, misalnya pada saham Netflix menghasilkan rata-rata keuntungan </w:t>
      </w:r>
      <w:r w:rsidRPr="008D17A0">
        <w:rPr>
          <w:rFonts w:ascii="Times New Roman" w:hAnsi="Times New Roman" w:cs="Times New Roman"/>
          <w:b/>
          <w:bCs/>
          <w:sz w:val="24"/>
          <w:szCs w:val="24"/>
        </w:rPr>
        <w:t>19,42%</w:t>
      </w:r>
      <w:r w:rsidRPr="008D17A0">
        <w:rPr>
          <w:rFonts w:ascii="Times New Roman" w:hAnsi="Times New Roman" w:cs="Times New Roman"/>
          <w:sz w:val="24"/>
          <w:szCs w:val="24"/>
        </w:rPr>
        <w:t xml:space="preserve"> saat pasar naik dan pada Tesla mencapai </w:t>
      </w:r>
      <w:r w:rsidRPr="008D17A0">
        <w:rPr>
          <w:rFonts w:ascii="Times New Roman" w:hAnsi="Times New Roman" w:cs="Times New Roman"/>
          <w:b/>
          <w:bCs/>
          <w:sz w:val="24"/>
          <w:szCs w:val="24"/>
        </w:rPr>
        <w:t>12,86%</w:t>
      </w:r>
      <w:r w:rsidRPr="008D17A0">
        <w:rPr>
          <w:rFonts w:ascii="Times New Roman" w:hAnsi="Times New Roman" w:cs="Times New Roman"/>
          <w:sz w:val="24"/>
          <w:szCs w:val="24"/>
        </w:rPr>
        <w:t xml:space="preserve"> saat pasar turun. Meskipun demikian, penelitian ini masih memiliki keterbatasan karena sumber berita yang digunakan terbatas pada headline dari media tertentu, cakupan data hanya mencakup 12 saham, serta fokus prediksi masih pada arah harga jangka pendek harian. Oleh sebab itu, penelitian selanjutnya disarankan memperluas sumber data tekstual dari media sosial, laporan keuangan, maupun berita lintas platform, menambah jumlah saham dan periode pengamatan, serta menguji arsitektur lain seperti Transformer atau model hibrida yang lebih adaptif agar performa prediksi menjadi lebih stabil dan generalisasi model semakin kuat.</w:t>
      </w:r>
    </w:p>
    <w:p w14:paraId="3602612F" w14:textId="77777777" w:rsidR="003F6C76" w:rsidRDefault="003F6C76" w:rsidP="008D17A0">
      <w:pPr>
        <w:jc w:val="both"/>
        <w:rPr>
          <w:rFonts w:ascii="Times New Roman" w:hAnsi="Times New Roman" w:cs="Times New Roman"/>
          <w:sz w:val="24"/>
          <w:szCs w:val="24"/>
        </w:rPr>
      </w:pPr>
    </w:p>
    <w:p w14:paraId="6B9218A3" w14:textId="293DD301" w:rsidR="003F6C76" w:rsidRDefault="003F6C76" w:rsidP="008D17A0">
      <w:pPr>
        <w:jc w:val="both"/>
        <w:rPr>
          <w:rFonts w:ascii="Times New Roman" w:hAnsi="Times New Roman" w:cs="Times New Roman"/>
          <w:sz w:val="24"/>
          <w:szCs w:val="24"/>
        </w:rPr>
      </w:pPr>
      <w:r w:rsidRPr="003F6C76">
        <w:rPr>
          <w:rFonts w:ascii="Times New Roman" w:hAnsi="Times New Roman" w:cs="Times New Roman"/>
          <w:sz w:val="24"/>
          <w:szCs w:val="24"/>
        </w:rPr>
        <w:t>Liu et al. (2025) menunjukkan bahwa peningkatan akurasi prediksi harga saham dapat dicapai melalui integrasi metode dekomposisi sinyal dan deep learning melalui model CEEMDAN-GRU-Informer. Penelitian tersebut memecah data harga saham ke dalam beberapa komponen menggunakan CEEMDAN, kemudian mengukur kompleksitas data melalui Sample Entropy sebelum diproses oleh GRU untuk pola sederhana dan Informer untuk pola yang lebih kompleks. Pengujian pada enam indeks saham internasional memperlihatkan hasil yang sangat baik, khususnya pada dataset Shenzhen Component Index (SZ1) dengan nilai RMSE 0,0007 dan MAE 0,0005, serta pada S&amp;P 500 (SPX) dengan RMSE 0,0006 dan MAE 0,0004. Jika dibandingkan dengan model CEEMDAN-GRU pada data SZ1 yang memiliki RMSE 0,0060, maka terjadi penurunan kesalahan prediksi sebesar 88,33%, sedangkan dibandingkan CEEMDAN-Informer dengan RMSE 0,0026 terjadi penurunan sebesar 73,08%. Meskipun demikian, penelitian ini masih memiliki keterbatasan karena hanya menggunakan data enam indeks saham pada periode 2011–2018, sehingga generalisasi model terhadap saham individual, sektor tertentu, maupun kondisi pasar terbaru belum sepenuhnya teruji. Selain itu, variabel eksternal seperti sentimen pasar, kebijakan ekonomi, dan peristiwa global belum dimasukkan ke dalam model. Oleh karena itu, penelitian selanjutnya dapat memperluas cakupan data, menggunakan periode yang lebih mutakhir, serta mengintegrasikan faktor fundamental dan sentimen untuk meningkatkan ketahanan model prediksi.</w:t>
      </w:r>
    </w:p>
    <w:p w14:paraId="6F0DBB1E" w14:textId="77777777" w:rsidR="00784E8E" w:rsidRDefault="00784E8E" w:rsidP="008D17A0">
      <w:pPr>
        <w:jc w:val="both"/>
        <w:rPr>
          <w:rFonts w:ascii="Times New Roman" w:hAnsi="Times New Roman" w:cs="Times New Roman"/>
          <w:sz w:val="24"/>
          <w:szCs w:val="24"/>
        </w:rPr>
      </w:pPr>
    </w:p>
    <w:p w14:paraId="62143917" w14:textId="11154030" w:rsidR="00784E8E" w:rsidRDefault="00784E8E" w:rsidP="008D17A0">
      <w:pPr>
        <w:jc w:val="both"/>
        <w:rPr>
          <w:rFonts w:ascii="Times New Roman" w:hAnsi="Times New Roman" w:cs="Times New Roman"/>
          <w:sz w:val="24"/>
          <w:szCs w:val="24"/>
        </w:rPr>
      </w:pPr>
      <w:r w:rsidRPr="00784E8E">
        <w:rPr>
          <w:rFonts w:ascii="Times New Roman" w:hAnsi="Times New Roman" w:cs="Times New Roman"/>
          <w:sz w:val="24"/>
          <w:szCs w:val="24"/>
        </w:rPr>
        <w:t xml:space="preserve">Mutinda dan Yong (2025) meneliti penerapan deep learning pada peramalan </w:t>
      </w:r>
      <w:r w:rsidRPr="00784E8E">
        <w:rPr>
          <w:rFonts w:ascii="Times New Roman" w:hAnsi="Times New Roman" w:cs="Times New Roman"/>
          <w:i/>
          <w:iCs/>
          <w:sz w:val="24"/>
          <w:szCs w:val="24"/>
        </w:rPr>
        <w:t>hierarchical time series</w:t>
      </w:r>
      <w:r w:rsidRPr="00784E8E">
        <w:rPr>
          <w:rFonts w:ascii="Times New Roman" w:hAnsi="Times New Roman" w:cs="Times New Roman"/>
          <w:sz w:val="24"/>
          <w:szCs w:val="24"/>
        </w:rPr>
        <w:t xml:space="preserve"> (HTS) untuk nilai pasar indeks Dow Jones Industrial Average (DJIA) dengan struktur </w:t>
      </w:r>
      <w:r w:rsidRPr="00784E8E">
        <w:rPr>
          <w:rFonts w:ascii="Times New Roman" w:hAnsi="Times New Roman" w:cs="Times New Roman"/>
          <w:sz w:val="24"/>
          <w:szCs w:val="24"/>
        </w:rPr>
        <w:lastRenderedPageBreak/>
        <w:t>tiga level, yaitu total indeks, enam sektor industri, dan 30 perusahaan individual. Penelitian ini menggunakan data harian periode 4 Januari 2021 hingga 31 Mei 2024, dengan nilai pasar dihitung dari harga penutupan saham dikalikan jumlah saham beredar. Model dasar yang dibandingkan meliputi Recurrent Neural Network (RNN), Long Short-Term Memory (LSTM), dan Gated Recurrent Unit (GRU), kemudian hasil prediksi direkonsiliasi menggunakan metode Bottom-Up, Top-Down, Middle-Out, MinT (OLS), MinT (WLS-struct), dan Optimal Combination. Evaluasi dilakukan pada horizon 115 hari dan 230 hari menggunakan indikator AvgRMSE, AvgMAPE, AvgRelRMSE, dan AvgRelMAPE. Hasil penelitian menunjukkan bahwa metode rekonsiliasi mampu meningkatkan akurasi dibanding prediksi dasar, dengan MinT (WLS-struct) menjadi metode terbaik secara konsisten di hampir seluruh level hierarki dan horizon prediksi. Sebagai contoh, pada horizon 115 hari untuk model RNN, nilai AvgRelRMSE terbaik mencapai 0,74990 pada level agregat, 0,74476 pada level industri, dan 0,93490 pada level perusahaan, yang menunjukkan perbaikan akurasi masing-masing sekitar 25,01%, 25,52%, dan 6,51% dibanding model dasar. Temuan ini menegaskan bahwa integrasi jaringan saraf dalam struktur HTS efektif untuk memprediksi pasar saham yang kompleks. Namun, penelitian masih terbatas pada indeks DJIA, jumlah sampel perusahaan yang relatif kecil, serta belum mempertimbangkan variabel eksternal seperti suku bunga, inflasi, atau sentimen pasar, sehingga studi lanjutan disarankan menguji indeks lain dan menambahkan faktor makroekonomi agar hasil lebih generalizable.</w:t>
      </w:r>
    </w:p>
    <w:p w14:paraId="2787E4A2" w14:textId="77777777" w:rsidR="00784E8E" w:rsidRDefault="00784E8E" w:rsidP="008D17A0">
      <w:pPr>
        <w:jc w:val="both"/>
        <w:rPr>
          <w:rFonts w:ascii="Times New Roman" w:hAnsi="Times New Roman" w:cs="Times New Roman"/>
          <w:sz w:val="24"/>
          <w:szCs w:val="24"/>
        </w:rPr>
      </w:pPr>
    </w:p>
    <w:p w14:paraId="70286179" w14:textId="2EC68C12" w:rsidR="00784E8E" w:rsidRDefault="00784E8E" w:rsidP="008D17A0">
      <w:pPr>
        <w:jc w:val="both"/>
        <w:rPr>
          <w:rFonts w:ascii="Times New Roman" w:hAnsi="Times New Roman" w:cs="Times New Roman"/>
          <w:sz w:val="24"/>
          <w:szCs w:val="24"/>
        </w:rPr>
      </w:pPr>
      <w:r w:rsidRPr="00784E8E">
        <w:rPr>
          <w:rFonts w:ascii="Times New Roman" w:hAnsi="Times New Roman" w:cs="Times New Roman"/>
          <w:sz w:val="24"/>
          <w:szCs w:val="24"/>
        </w:rPr>
        <w:t>Narmandakh dkk. (2025) mengembangkan model prediksi pergerakan nilai tukar Forex berbasis kombinasi 2D-CNN-LSTM dengan memanfaatkan fitur lag sebagai selisih historis harga, yang dirancang untuk meningkatkan kemampuan model dalam menangkap pola tren dan ketergantungan temporal pada data deret waktu. Penelitian menggunakan data harian empat pasangan mata uang utama, yaitu EUR/USD, CAD/USD, GBP/USD, dan JPY/USD, dengan variabel open, high, low, serta close dari Yahoo Finance. Hasil uji Augmented Dickey-Fuller menunjukkan bahwa data asli bersifat non-stasioner, sedangkan fitur lag-1 hingga lag-5 memiliki p-value 0,000 sehingga lebih layak digunakan sebagai input model. Dibandingkan model pembanding seperti MLP, LSTM, 2D-CNN, dan CNN-LSTM, arsitektur usulan menghasilkan performa terbaik. Pada pasangan EUR/USD, akurasi prediksi mencapai 80,1% untuk horizon 1 hari, 72,5% (2 hari), 69,1% (3 hari), 65,0% (4 hari), dan 62,5% (5 hari). Pada pengujian pasangan mata uang lain, model memperoleh akurasi tertinggi 82,3% pada JPY/USD untuk prediksi 1 hari dan 64,0% pada GBP/USD untuk prediksi 5 hari. Temuan ini menunjukkan bahwa penggunaan fitur lag mampu meningkatkan akurasi seluruh model secara konsisten serta mempercepat konvergensi pelatihan. Namun, penelitian masih terbatas pada data historis teknikal tanpa memasukkan variabel makroekonomi, sentimen pasar, maupun arsitektur modern seperti transformer, sehingga pengembangan lanjutan diperlukan agar generalisasi model semakin kuat.</w:t>
      </w:r>
    </w:p>
    <w:p w14:paraId="161BE234" w14:textId="77777777" w:rsidR="00BF7CF7" w:rsidRDefault="00BF7CF7" w:rsidP="008D17A0">
      <w:pPr>
        <w:jc w:val="both"/>
        <w:rPr>
          <w:rFonts w:ascii="Times New Roman" w:hAnsi="Times New Roman" w:cs="Times New Roman"/>
          <w:sz w:val="24"/>
          <w:szCs w:val="24"/>
        </w:rPr>
      </w:pPr>
    </w:p>
    <w:p w14:paraId="0EC51FE1" w14:textId="36E0CEFB" w:rsidR="00BF7CF7" w:rsidRDefault="00BF7CF7" w:rsidP="008D17A0">
      <w:pPr>
        <w:jc w:val="both"/>
        <w:rPr>
          <w:rFonts w:ascii="Times New Roman" w:hAnsi="Times New Roman" w:cs="Times New Roman"/>
          <w:sz w:val="24"/>
          <w:szCs w:val="24"/>
        </w:rPr>
      </w:pPr>
      <w:r w:rsidRPr="00BF7CF7">
        <w:rPr>
          <w:rFonts w:ascii="Times New Roman" w:hAnsi="Times New Roman" w:cs="Times New Roman"/>
          <w:sz w:val="24"/>
          <w:szCs w:val="24"/>
        </w:rPr>
        <w:t xml:space="preserve">Li dan Hu (2026) mengembangkan model </w:t>
      </w:r>
      <w:r w:rsidRPr="00BF7CF7">
        <w:rPr>
          <w:rFonts w:ascii="Times New Roman" w:hAnsi="Times New Roman" w:cs="Times New Roman"/>
          <w:b/>
          <w:bCs/>
          <w:sz w:val="24"/>
          <w:szCs w:val="24"/>
        </w:rPr>
        <w:t>XSI-BiLSTM</w:t>
      </w:r>
      <w:r w:rsidRPr="00BF7CF7">
        <w:rPr>
          <w:rFonts w:ascii="Times New Roman" w:hAnsi="Times New Roman" w:cs="Times New Roman"/>
          <w:sz w:val="24"/>
          <w:szCs w:val="24"/>
        </w:rPr>
        <w:t xml:space="preserve">, yaitu kerangka deep learning hibrida untuk prediksi harga saham yang menggabungkan sentimen investor ritel dari forum daring dengan indikator teknikal pasar. Penelitian ini memanfaatkan </w:t>
      </w:r>
      <w:r w:rsidRPr="00BF7CF7">
        <w:rPr>
          <w:rFonts w:ascii="Times New Roman" w:hAnsi="Times New Roman" w:cs="Times New Roman"/>
          <w:b/>
          <w:bCs/>
          <w:sz w:val="24"/>
          <w:szCs w:val="24"/>
        </w:rPr>
        <w:t>XLNET</w:t>
      </w:r>
      <w:r w:rsidRPr="00BF7CF7">
        <w:rPr>
          <w:rFonts w:ascii="Times New Roman" w:hAnsi="Times New Roman" w:cs="Times New Roman"/>
          <w:sz w:val="24"/>
          <w:szCs w:val="24"/>
        </w:rPr>
        <w:t xml:space="preserve"> untuk mengekstraksi sentimen dari sekitar </w:t>
      </w:r>
      <w:r w:rsidRPr="00BF7CF7">
        <w:rPr>
          <w:rFonts w:ascii="Times New Roman" w:hAnsi="Times New Roman" w:cs="Times New Roman"/>
          <w:b/>
          <w:bCs/>
          <w:sz w:val="24"/>
          <w:szCs w:val="24"/>
        </w:rPr>
        <w:t>337.501 postingan forum</w:t>
      </w:r>
      <w:r w:rsidRPr="00BF7CF7">
        <w:rPr>
          <w:rFonts w:ascii="Times New Roman" w:hAnsi="Times New Roman" w:cs="Times New Roman"/>
          <w:sz w:val="24"/>
          <w:szCs w:val="24"/>
        </w:rPr>
        <w:t xml:space="preserve"> dan mengintegrasikannya ke dalam jaringan </w:t>
      </w:r>
      <w:r w:rsidRPr="00BF7CF7">
        <w:rPr>
          <w:rFonts w:ascii="Times New Roman" w:hAnsi="Times New Roman" w:cs="Times New Roman"/>
          <w:b/>
          <w:bCs/>
          <w:sz w:val="24"/>
          <w:szCs w:val="24"/>
        </w:rPr>
        <w:t>BiLSTM-highway</w:t>
      </w:r>
      <w:r w:rsidRPr="00BF7CF7">
        <w:rPr>
          <w:rFonts w:ascii="Times New Roman" w:hAnsi="Times New Roman" w:cs="Times New Roman"/>
          <w:sz w:val="24"/>
          <w:szCs w:val="24"/>
        </w:rPr>
        <w:t xml:space="preserve"> agar mampu menangkap hubungan temporal serta pengaruh psikologis </w:t>
      </w:r>
      <w:r w:rsidRPr="00BF7CF7">
        <w:rPr>
          <w:rFonts w:ascii="Times New Roman" w:hAnsi="Times New Roman" w:cs="Times New Roman"/>
          <w:sz w:val="24"/>
          <w:szCs w:val="24"/>
        </w:rPr>
        <w:lastRenderedPageBreak/>
        <w:t xml:space="preserve">investor secara simultan. Hasil pengujian pada empat saham/indeks di pasar Tiongkok menunjukkan bahwa model usulan memberikan performa terbaik dibanding SVR, GRU-Att, BiLSTM, LSTM-Att, dan Transformer, dengan peningkatan minimal </w:t>
      </w:r>
      <w:r w:rsidRPr="00BF7CF7">
        <w:rPr>
          <w:rFonts w:ascii="Times New Roman" w:hAnsi="Times New Roman" w:cs="Times New Roman"/>
          <w:b/>
          <w:bCs/>
          <w:sz w:val="24"/>
          <w:szCs w:val="24"/>
        </w:rPr>
        <w:t>8,15% pada RMSE</w:t>
      </w:r>
      <w:r w:rsidRPr="00BF7CF7">
        <w:rPr>
          <w:rFonts w:ascii="Times New Roman" w:hAnsi="Times New Roman" w:cs="Times New Roman"/>
          <w:sz w:val="24"/>
          <w:szCs w:val="24"/>
        </w:rPr>
        <w:t xml:space="preserve">, </w:t>
      </w:r>
      <w:r w:rsidRPr="00BF7CF7">
        <w:rPr>
          <w:rFonts w:ascii="Times New Roman" w:hAnsi="Times New Roman" w:cs="Times New Roman"/>
          <w:b/>
          <w:bCs/>
          <w:sz w:val="24"/>
          <w:szCs w:val="24"/>
        </w:rPr>
        <w:t>6,21% pada MAPE</w:t>
      </w:r>
      <w:r w:rsidRPr="00BF7CF7">
        <w:rPr>
          <w:rFonts w:ascii="Times New Roman" w:hAnsi="Times New Roman" w:cs="Times New Roman"/>
          <w:sz w:val="24"/>
          <w:szCs w:val="24"/>
        </w:rPr>
        <w:t xml:space="preserve">, dan </w:t>
      </w:r>
      <w:r w:rsidRPr="00BF7CF7">
        <w:rPr>
          <w:rFonts w:ascii="Times New Roman" w:hAnsi="Times New Roman" w:cs="Times New Roman"/>
          <w:b/>
          <w:bCs/>
          <w:sz w:val="24"/>
          <w:szCs w:val="24"/>
        </w:rPr>
        <w:t>5,80% pada R²</w:t>
      </w:r>
      <w:r w:rsidRPr="00BF7CF7">
        <w:rPr>
          <w:rFonts w:ascii="Times New Roman" w:hAnsi="Times New Roman" w:cs="Times New Roman"/>
          <w:sz w:val="24"/>
          <w:szCs w:val="24"/>
        </w:rPr>
        <w:t xml:space="preserve"> dibanding model terbaik kedua. Pada klasifikasi sentimen, XLNET juga mencatat </w:t>
      </w:r>
      <w:r w:rsidRPr="00BF7CF7">
        <w:rPr>
          <w:rFonts w:ascii="Times New Roman" w:hAnsi="Times New Roman" w:cs="Times New Roman"/>
          <w:b/>
          <w:bCs/>
          <w:sz w:val="24"/>
          <w:szCs w:val="24"/>
        </w:rPr>
        <w:t>akurasi 81,64%</w:t>
      </w:r>
      <w:r w:rsidRPr="00BF7CF7">
        <w:rPr>
          <w:rFonts w:ascii="Times New Roman" w:hAnsi="Times New Roman" w:cs="Times New Roman"/>
          <w:sz w:val="24"/>
          <w:szCs w:val="24"/>
        </w:rPr>
        <w:t xml:space="preserve"> dan </w:t>
      </w:r>
      <w:r w:rsidRPr="00BF7CF7">
        <w:rPr>
          <w:rFonts w:ascii="Times New Roman" w:hAnsi="Times New Roman" w:cs="Times New Roman"/>
          <w:b/>
          <w:bCs/>
          <w:sz w:val="24"/>
          <w:szCs w:val="24"/>
        </w:rPr>
        <w:t>F1-score 81,97%</w:t>
      </w:r>
      <w:r w:rsidRPr="00BF7CF7">
        <w:rPr>
          <w:rFonts w:ascii="Times New Roman" w:hAnsi="Times New Roman" w:cs="Times New Roman"/>
          <w:sz w:val="24"/>
          <w:szCs w:val="24"/>
        </w:rPr>
        <w:t>, menandakan kemampuan tinggi dalam membaca opini investor. Temuan ini menegaskan bahwa sentimen investor yang diperkuat faktor popularitas (jumlah baca, komentar, dan suka) memiliki nilai prediktif nyata terhadap pergerakan harga saham. Meski demikian, studi ini terbatas pada data forum daring Tiongkok dan empat objek saham, sehingga generalisasi ke pasar lain masih memerlukan pengujian lanjutan dengan aset, periode, dan sumber sentimen yang lebih beragam.</w:t>
      </w:r>
    </w:p>
    <w:p w14:paraId="02C1BA95" w14:textId="77777777" w:rsidR="00852BD8" w:rsidRDefault="00852BD8" w:rsidP="008D17A0">
      <w:pPr>
        <w:jc w:val="both"/>
        <w:rPr>
          <w:rFonts w:ascii="Times New Roman" w:hAnsi="Times New Roman" w:cs="Times New Roman"/>
          <w:sz w:val="24"/>
          <w:szCs w:val="24"/>
        </w:rPr>
      </w:pPr>
    </w:p>
    <w:p w14:paraId="2217ECAE" w14:textId="14F6BC33" w:rsidR="00852BD8" w:rsidRDefault="00852BD8" w:rsidP="008D17A0">
      <w:pPr>
        <w:jc w:val="both"/>
        <w:rPr>
          <w:rFonts w:ascii="Times New Roman" w:hAnsi="Times New Roman" w:cs="Times New Roman"/>
          <w:sz w:val="24"/>
          <w:szCs w:val="24"/>
        </w:rPr>
      </w:pPr>
      <w:r w:rsidRPr="00852BD8">
        <w:rPr>
          <w:rFonts w:ascii="Times New Roman" w:hAnsi="Times New Roman" w:cs="Times New Roman"/>
          <w:sz w:val="24"/>
          <w:szCs w:val="24"/>
        </w:rPr>
        <w:t>Sun et al. (2026) mengembangkan model prediksi harga saham berbasis pembelajaran mendalam yang mengintegrasikan data multimodal—meliputi harga historis, berita keuangan, dan sentimen media sosial—melalui arsitektur hibrida yang mengombinasikan LSTM untuk pemodelan deret waktu, BERT untuk ekstraksi makna teks, mekanisme attention untuk fusi fitur adaptif, serta Kolmogorov-Arnold Networks (KAN) sebagai lapisan keluaran guna meningkatkan kemampuan pemodelan nonlinier sekaligus interpretabilitas . Berdasarkan pengujian empiris pada data saham NVIDIA periode 2020–2025, model ini menunjukkan kinerja yang lebih unggul dibandingkan metode pembanding, ditunjukkan oleh penurunan RMSE dari 2,26 menjadi 1,51 (33,2%), MAE dari 1,74 menjadi 1,12 (35,6%), serta MAPE dari 0,88% menjadi 0,52% (40,9%), disertai peningkatan nilai R² dari 0,924 menjadi 0,965 (4,4%) dan akurasi arah prediksi dari 82,8% menjadi 88,6% (7,0%) . Temuan ini mengindikasikan bahwa integrasi berbagai sumber informasi dengan mekanisme attention memberikan kontribusi dominan terhadap peningkatan performa, sementara penerapan KAN memperkuat aspek keterjelasan model, sehingga pendekatan ini relevan sebagai alternatif metodologis dalam prediksi deret waktu keuangan yang kompleks.</w:t>
      </w:r>
    </w:p>
    <w:p w14:paraId="0D0B398C" w14:textId="77777777" w:rsidR="00852BD8" w:rsidRDefault="00852BD8" w:rsidP="008D17A0">
      <w:pPr>
        <w:jc w:val="both"/>
        <w:rPr>
          <w:rFonts w:ascii="Times New Roman" w:hAnsi="Times New Roman" w:cs="Times New Roman"/>
          <w:sz w:val="24"/>
          <w:szCs w:val="24"/>
        </w:rPr>
      </w:pPr>
    </w:p>
    <w:p w14:paraId="0384B220" w14:textId="4E4B451B" w:rsidR="00852BD8" w:rsidRDefault="00456222" w:rsidP="008D17A0">
      <w:pPr>
        <w:jc w:val="both"/>
        <w:rPr>
          <w:rFonts w:ascii="Times New Roman" w:hAnsi="Times New Roman" w:cs="Times New Roman"/>
          <w:sz w:val="24"/>
          <w:szCs w:val="24"/>
        </w:rPr>
      </w:pPr>
      <w:r w:rsidRPr="00456222">
        <w:rPr>
          <w:rFonts w:ascii="Times New Roman" w:hAnsi="Times New Roman" w:cs="Times New Roman"/>
          <w:sz w:val="24"/>
          <w:szCs w:val="24"/>
        </w:rPr>
        <w:t>Friday et al. (2024) mengusulkan model hibrida deep learning CAG (CNN-Attention-GRU) untuk memprediksi arah pergerakan pasar saham jangka pendek dengan memanfaatkan kekuatan CNN dalam mengekstraksi pola lokal, attention mechanism untuk menimbang fitur yang relevan, serta GRU dalam menangkap dependensi temporal. Model ini dilatih menggunakan data historis berbagai indeks global periode 2015–2022 yang diperkaya dengan 18 indikator teknikal, kemudian dievaluasi melalui metrik klasifikasi dan kinerja finansial. Hasil empiris menunjukkan bahwa model CAG secara konsisten melampaui model pembanding (CNN, LSTM, GRU, dan CNN-GRU) dengan akurasi rata-rata sebesar 88,53% dan mencapai hingga 98% untuk prediksi satu hari ke depan. Dari sisi finansial, model ini menghasilkan ROI sebesar 11,30% (BSE), 17,68% (HSI), 18,02% (IXIC), 15,84% (NIFTY), 18,68% (N225), dan 14,09% (SSE), serta annualized return hingga 19,45% dengan tingkat risiko relatif rendah (MDD sekitar 6,59%). Selain itu, uji Wilcoxon menghasilkan p-value 0,0003 (&lt;0,05), yang menegaskan bahwa peningkatan kinerja model signifikan secara statistik, sehingga pendekatan CAG dinilai efektif dalam meningkatkan akurasi prediksi sekaligus profitabilitas dalam pengambilan keputusan investasi</w:t>
      </w:r>
    </w:p>
    <w:p w14:paraId="19BE41E7" w14:textId="77777777" w:rsidR="00456222" w:rsidRDefault="00456222" w:rsidP="008D17A0">
      <w:pPr>
        <w:jc w:val="both"/>
        <w:rPr>
          <w:rFonts w:ascii="Times New Roman" w:hAnsi="Times New Roman" w:cs="Times New Roman"/>
          <w:sz w:val="24"/>
          <w:szCs w:val="24"/>
        </w:rPr>
      </w:pPr>
    </w:p>
    <w:p w14:paraId="2EAA539A" w14:textId="0FAC0FDE" w:rsidR="00456222" w:rsidRDefault="00456222" w:rsidP="008D17A0">
      <w:pPr>
        <w:jc w:val="both"/>
        <w:rPr>
          <w:rFonts w:ascii="Times New Roman" w:hAnsi="Times New Roman" w:cs="Times New Roman"/>
          <w:sz w:val="24"/>
          <w:szCs w:val="24"/>
        </w:rPr>
      </w:pPr>
      <w:r w:rsidRPr="00456222">
        <w:rPr>
          <w:rFonts w:ascii="Times New Roman" w:hAnsi="Times New Roman" w:cs="Times New Roman"/>
          <w:sz w:val="24"/>
          <w:szCs w:val="24"/>
        </w:rPr>
        <w:lastRenderedPageBreak/>
        <w:t>Touzani dan Douzi (2021) mengkaji pengembangan strategi perdagangan saham berbasis deep learning pada pasar Maroko dengan memanfaatkan model LSTM untuk prediksi jangka pendek dan GRU untuk jangka menengah, yang kemudian dipadukan dengan aturan keputusan transaksi berdasarkan perbandingan antara harga prediksi dan harga aktual. Data pelatihan diambil dari indeks global seperti S&amp;P 500 dan CAC40, sedangkan data lokal digunakan untuk validasi guna mengatasi keterbatasan likuiditas dan jumlah saham. Hasil pengujian menunjukkan tingkat kesalahan prediksi yang rendah (MAPE LSTM 1,96%–3,14% dan GRU 2,12%–4,30%), yang berkontribusi pada efektivitas strategi. Melalui simulasi dan optimasi parameter ambang, diperoleh saham optimal seperti COL dan MDP dengan tingkat kemenangan transaksi masing-masing sekitar 91,43% dan 93,33%. Kinerja strategi menunjukkan imbal hasil tahunan sebesar 27,13% (atau sekitar 2,02% per bulan), melampaui indeks pembanding seperti MASI (0,43%), sektor distributor (15,24%), dan farmasi (19,94%), sehingga mengindikasikan bahwa pendekatan ini efektif dalam menghasilkan keuntungan yang relatif stabil bahkan dalam kondisi pasar yang bergejolak.</w:t>
      </w:r>
    </w:p>
    <w:p w14:paraId="25A88468" w14:textId="77777777" w:rsidR="00456222" w:rsidRDefault="00456222" w:rsidP="008D17A0">
      <w:pPr>
        <w:jc w:val="both"/>
        <w:rPr>
          <w:rFonts w:ascii="Times New Roman" w:hAnsi="Times New Roman" w:cs="Times New Roman"/>
          <w:sz w:val="24"/>
          <w:szCs w:val="24"/>
        </w:rPr>
      </w:pPr>
    </w:p>
    <w:p w14:paraId="1FD12950" w14:textId="6DAF65F7" w:rsidR="00456222" w:rsidRDefault="00456222" w:rsidP="008D17A0">
      <w:pPr>
        <w:jc w:val="both"/>
        <w:rPr>
          <w:rFonts w:ascii="Times New Roman" w:hAnsi="Times New Roman" w:cs="Times New Roman"/>
          <w:sz w:val="24"/>
          <w:szCs w:val="24"/>
        </w:rPr>
      </w:pPr>
      <w:r w:rsidRPr="00456222">
        <w:rPr>
          <w:rFonts w:ascii="Times New Roman" w:hAnsi="Times New Roman" w:cs="Times New Roman"/>
          <w:sz w:val="24"/>
          <w:szCs w:val="24"/>
        </w:rPr>
        <w:t xml:space="preserve">Hashemipour et al. (2026) mengusulkan kerangka </w:t>
      </w:r>
      <w:r w:rsidRPr="00456222">
        <w:rPr>
          <w:rFonts w:ascii="Times New Roman" w:hAnsi="Times New Roman" w:cs="Times New Roman"/>
          <w:b/>
          <w:bCs/>
          <w:sz w:val="24"/>
          <w:szCs w:val="24"/>
        </w:rPr>
        <w:t>Hybrid 4-Classifier Stacked Autoencoder (H4CSAE)</w:t>
      </w:r>
      <w:r w:rsidRPr="00456222">
        <w:rPr>
          <w:rFonts w:ascii="Times New Roman" w:hAnsi="Times New Roman" w:cs="Times New Roman"/>
          <w:sz w:val="24"/>
          <w:szCs w:val="24"/>
        </w:rPr>
        <w:t xml:space="preserve"> untuk prediksi harga saham berbasis </w:t>
      </w:r>
      <w:r w:rsidRPr="00456222">
        <w:rPr>
          <w:rFonts w:ascii="Times New Roman" w:hAnsi="Times New Roman" w:cs="Times New Roman"/>
          <w:i/>
          <w:iCs/>
          <w:sz w:val="24"/>
          <w:szCs w:val="24"/>
        </w:rPr>
        <w:t>deep learning</w:t>
      </w:r>
      <w:r w:rsidRPr="00456222">
        <w:rPr>
          <w:rFonts w:ascii="Times New Roman" w:hAnsi="Times New Roman" w:cs="Times New Roman"/>
          <w:sz w:val="24"/>
          <w:szCs w:val="24"/>
        </w:rPr>
        <w:t xml:space="preserve"> yang mengintegrasikan proses </w:t>
      </w:r>
      <w:r w:rsidRPr="00456222">
        <w:rPr>
          <w:rFonts w:ascii="Times New Roman" w:hAnsi="Times New Roman" w:cs="Times New Roman"/>
          <w:i/>
          <w:iCs/>
          <w:sz w:val="24"/>
          <w:szCs w:val="24"/>
        </w:rPr>
        <w:t>denoising</w:t>
      </w:r>
      <w:r w:rsidRPr="00456222">
        <w:rPr>
          <w:rFonts w:ascii="Times New Roman" w:hAnsi="Times New Roman" w:cs="Times New Roman"/>
          <w:sz w:val="24"/>
          <w:szCs w:val="24"/>
        </w:rPr>
        <w:t xml:space="preserve"> dan ekstraksi fitur melalui </w:t>
      </w:r>
      <w:r w:rsidRPr="00456222">
        <w:rPr>
          <w:rFonts w:ascii="Times New Roman" w:hAnsi="Times New Roman" w:cs="Times New Roman"/>
          <w:i/>
          <w:iCs/>
          <w:sz w:val="24"/>
          <w:szCs w:val="24"/>
        </w:rPr>
        <w:t>Variational Autoencoder</w:t>
      </w:r>
      <w:r w:rsidRPr="00456222">
        <w:rPr>
          <w:rFonts w:ascii="Times New Roman" w:hAnsi="Times New Roman" w:cs="Times New Roman"/>
          <w:sz w:val="24"/>
          <w:szCs w:val="24"/>
        </w:rPr>
        <w:t xml:space="preserve"> (VAE) dan </w:t>
      </w:r>
      <w:r w:rsidRPr="00456222">
        <w:rPr>
          <w:rFonts w:ascii="Times New Roman" w:hAnsi="Times New Roman" w:cs="Times New Roman"/>
          <w:i/>
          <w:iCs/>
          <w:sz w:val="24"/>
          <w:szCs w:val="24"/>
        </w:rPr>
        <w:t>Convolutional Autoencoder</w:t>
      </w:r>
      <w:r w:rsidRPr="00456222">
        <w:rPr>
          <w:rFonts w:ascii="Times New Roman" w:hAnsi="Times New Roman" w:cs="Times New Roman"/>
          <w:sz w:val="24"/>
          <w:szCs w:val="24"/>
        </w:rPr>
        <w:t xml:space="preserve"> (CAE), kemudian menggabungkan empat model klasifikasi (XGBoost, LSTM, GRU, dan BiLSTM) dengan logika AND guna menekan </w:t>
      </w:r>
      <w:r w:rsidRPr="00456222">
        <w:rPr>
          <w:rFonts w:ascii="Times New Roman" w:hAnsi="Times New Roman" w:cs="Times New Roman"/>
          <w:i/>
          <w:iCs/>
          <w:sz w:val="24"/>
          <w:szCs w:val="24"/>
        </w:rPr>
        <w:t>false positive</w:t>
      </w:r>
      <w:r w:rsidRPr="00456222">
        <w:rPr>
          <w:rFonts w:ascii="Times New Roman" w:hAnsi="Times New Roman" w:cs="Times New Roman"/>
          <w:sz w:val="24"/>
          <w:szCs w:val="24"/>
        </w:rPr>
        <w:t xml:space="preserve">. Dataset yang digunakan mencakup 535 perusahaan di Tehran Stock Exchange periode 2011–2020 dengan 20 fitur teknikal dan skema </w:t>
      </w:r>
      <w:r w:rsidRPr="00456222">
        <w:rPr>
          <w:rFonts w:ascii="Times New Roman" w:hAnsi="Times New Roman" w:cs="Times New Roman"/>
          <w:i/>
          <w:iCs/>
          <w:sz w:val="24"/>
          <w:szCs w:val="24"/>
        </w:rPr>
        <w:t>sliding window</w:t>
      </w:r>
      <w:r w:rsidRPr="00456222">
        <w:rPr>
          <w:rFonts w:ascii="Times New Roman" w:hAnsi="Times New Roman" w:cs="Times New Roman"/>
          <w:sz w:val="24"/>
          <w:szCs w:val="24"/>
        </w:rPr>
        <w:t xml:space="preserve"> (20 hari input dan 10 hari prediksi), serta ambang profit ≥17% sebagai label. Hasil pengujian menunjukkan bahwa tanpa autoencoder performa model menurun signifikan dengan tingkat kesalahan tinggi, sementara metode PCA tidak mampu menangkap pola nonlinier secara optimal . Model H4CSAE menghasilkan </w:t>
      </w:r>
      <w:r w:rsidRPr="00456222">
        <w:rPr>
          <w:rFonts w:ascii="Times New Roman" w:hAnsi="Times New Roman" w:cs="Times New Roman"/>
          <w:b/>
          <w:bCs/>
          <w:sz w:val="24"/>
          <w:szCs w:val="24"/>
        </w:rPr>
        <w:t>precision 77,78%</w:t>
      </w:r>
      <w:r w:rsidRPr="00456222">
        <w:rPr>
          <w:rFonts w:ascii="Times New Roman" w:hAnsi="Times New Roman" w:cs="Times New Roman"/>
          <w:sz w:val="24"/>
          <w:szCs w:val="24"/>
        </w:rPr>
        <w:t xml:space="preserve">, lebih tinggi dibandingkan XGBoost (52,38%), LSTM (47,37%), GRU (63,33%), dan BiLSTM (65,63%), dengan </w:t>
      </w:r>
      <w:r w:rsidRPr="00456222">
        <w:rPr>
          <w:rFonts w:ascii="Times New Roman" w:hAnsi="Times New Roman" w:cs="Times New Roman"/>
          <w:b/>
          <w:bCs/>
          <w:sz w:val="24"/>
          <w:szCs w:val="24"/>
        </w:rPr>
        <w:t>false positive hanya 4</w:t>
      </w:r>
      <w:r w:rsidRPr="00456222">
        <w:rPr>
          <w:rFonts w:ascii="Times New Roman" w:hAnsi="Times New Roman" w:cs="Times New Roman"/>
          <w:sz w:val="24"/>
          <w:szCs w:val="24"/>
        </w:rPr>
        <w:t xml:space="preserve"> dan </w:t>
      </w:r>
      <w:r w:rsidRPr="00456222">
        <w:rPr>
          <w:rFonts w:ascii="Times New Roman" w:hAnsi="Times New Roman" w:cs="Times New Roman"/>
          <w:b/>
          <w:bCs/>
          <w:sz w:val="24"/>
          <w:szCs w:val="24"/>
        </w:rPr>
        <w:t>true positive 14</w:t>
      </w:r>
      <w:r w:rsidRPr="00456222">
        <w:rPr>
          <w:rFonts w:ascii="Times New Roman" w:hAnsi="Times New Roman" w:cs="Times New Roman"/>
          <w:sz w:val="24"/>
          <w:szCs w:val="24"/>
        </w:rPr>
        <w:t xml:space="preserve">, serta </w:t>
      </w:r>
      <w:r w:rsidRPr="00456222">
        <w:rPr>
          <w:rFonts w:ascii="Times New Roman" w:hAnsi="Times New Roman" w:cs="Times New Roman"/>
          <w:i/>
          <w:iCs/>
          <w:sz w:val="24"/>
          <w:szCs w:val="24"/>
        </w:rPr>
        <w:t>specificity</w:t>
      </w:r>
      <w:r w:rsidRPr="00456222">
        <w:rPr>
          <w:rFonts w:ascii="Times New Roman" w:hAnsi="Times New Roman" w:cs="Times New Roman"/>
          <w:sz w:val="24"/>
          <w:szCs w:val="24"/>
        </w:rPr>
        <w:t xml:space="preserve"> mencapai 98,7% . Dalam simulasi pasar, model ini memberikan return portofolio sekitar </w:t>
      </w:r>
      <w:r w:rsidRPr="00456222">
        <w:rPr>
          <w:rFonts w:ascii="Times New Roman" w:hAnsi="Times New Roman" w:cs="Times New Roman"/>
          <w:b/>
          <w:bCs/>
          <w:sz w:val="24"/>
          <w:szCs w:val="24"/>
        </w:rPr>
        <w:t>15,5% tanpa biaya transaksi</w:t>
      </w:r>
      <w:r w:rsidRPr="00456222">
        <w:rPr>
          <w:rFonts w:ascii="Times New Roman" w:hAnsi="Times New Roman" w:cs="Times New Roman"/>
          <w:sz w:val="24"/>
          <w:szCs w:val="24"/>
        </w:rPr>
        <w:t xml:space="preserve"> dan tetap positif </w:t>
      </w:r>
      <w:r w:rsidRPr="00456222">
        <w:rPr>
          <w:rFonts w:ascii="Times New Roman" w:hAnsi="Times New Roman" w:cs="Times New Roman"/>
          <w:b/>
          <w:bCs/>
          <w:sz w:val="24"/>
          <w:szCs w:val="24"/>
        </w:rPr>
        <w:t>6,7% pada biaya 0,5%</w:t>
      </w:r>
      <w:r w:rsidRPr="00456222">
        <w:rPr>
          <w:rFonts w:ascii="Times New Roman" w:hAnsi="Times New Roman" w:cs="Times New Roman"/>
          <w:sz w:val="24"/>
          <w:szCs w:val="24"/>
        </w:rPr>
        <w:t xml:space="preserve">, menunjukkan ketahanan terhadap kondisi pasar nyata . Temuan ini menegaskan bahwa kombinasi </w:t>
      </w:r>
      <w:r w:rsidRPr="00456222">
        <w:rPr>
          <w:rFonts w:ascii="Times New Roman" w:hAnsi="Times New Roman" w:cs="Times New Roman"/>
          <w:i/>
          <w:iCs/>
          <w:sz w:val="24"/>
          <w:szCs w:val="24"/>
        </w:rPr>
        <w:t>feature engineering</w:t>
      </w:r>
      <w:r w:rsidRPr="00456222">
        <w:rPr>
          <w:rFonts w:ascii="Times New Roman" w:hAnsi="Times New Roman" w:cs="Times New Roman"/>
          <w:sz w:val="24"/>
          <w:szCs w:val="24"/>
        </w:rPr>
        <w:t xml:space="preserve"> berbasis autoencoder dan </w:t>
      </w:r>
      <w:r w:rsidRPr="00456222">
        <w:rPr>
          <w:rFonts w:ascii="Times New Roman" w:hAnsi="Times New Roman" w:cs="Times New Roman"/>
          <w:i/>
          <w:iCs/>
          <w:sz w:val="24"/>
          <w:szCs w:val="24"/>
        </w:rPr>
        <w:t>ensemble learning</w:t>
      </w:r>
      <w:r w:rsidRPr="00456222">
        <w:rPr>
          <w:rFonts w:ascii="Times New Roman" w:hAnsi="Times New Roman" w:cs="Times New Roman"/>
          <w:sz w:val="24"/>
          <w:szCs w:val="24"/>
        </w:rPr>
        <w:t xml:space="preserve"> efektif meningkatkan ketepatan prediksi sekaligus meminimalkan risiko kesalahan keputusan investasi.</w:t>
      </w:r>
    </w:p>
    <w:p w14:paraId="68453334" w14:textId="77777777" w:rsidR="00456222" w:rsidRDefault="00456222" w:rsidP="008D17A0">
      <w:pPr>
        <w:jc w:val="both"/>
        <w:rPr>
          <w:rFonts w:ascii="Times New Roman" w:hAnsi="Times New Roman" w:cs="Times New Roman"/>
          <w:sz w:val="24"/>
          <w:szCs w:val="24"/>
        </w:rPr>
      </w:pPr>
    </w:p>
    <w:p w14:paraId="0743D0D9" w14:textId="05148C07" w:rsidR="00456222" w:rsidRPr="008D17A0" w:rsidRDefault="00456222" w:rsidP="008D17A0">
      <w:pPr>
        <w:jc w:val="both"/>
        <w:rPr>
          <w:rFonts w:ascii="Times New Roman" w:hAnsi="Times New Roman" w:cs="Times New Roman"/>
          <w:sz w:val="24"/>
          <w:szCs w:val="24"/>
        </w:rPr>
      </w:pPr>
      <w:r w:rsidRPr="00456222">
        <w:rPr>
          <w:rFonts w:ascii="Times New Roman" w:hAnsi="Times New Roman" w:cs="Times New Roman"/>
          <w:sz w:val="24"/>
          <w:szCs w:val="24"/>
        </w:rPr>
        <w:t xml:space="preserve">Priya Singh, Akanksha Sharma, Manoj Jha, dan Chandan Kumar Verma (2025) mengkaji prediksi volatilitas pasar melalui pendekatan ensemble berbasis deep learning untuk meningkatkan akurasi prediksi indeks India VIX sebagai indikator risiko finansial. Penelitian ini mengombinasikan model Long Short-Term Memory (LSTM) dan Gated Recurrent Unit (GRU) dengan optimasi hyperparameter menggunakan random search serta validasi silang lima lipatan guna memastikan kemampuan generalisasi model pada berbagai kondisi pasar. Hasil empiris menunjukkan bahwa pendekatan ensemble secara konsisten mengungguli model tunggal, tercermin dari penurunan nilai kesalahan prediksi seperti RMSE dan MAE; model ensemble mencapai RMSE sebesar 5,81 dan MAE sebesar 4,19, serta pada skenario lain menghasilkan RMSE minimum 0,01300 dan MAE 0,00822, yang menunjukkan peningkatan presisi yang signifikan. Selain itu, uji Diebold–Mariano berbasis MSE mengonfirmasi bahwa </w:t>
      </w:r>
      <w:r w:rsidRPr="00456222">
        <w:rPr>
          <w:rFonts w:ascii="Times New Roman" w:hAnsi="Times New Roman" w:cs="Times New Roman"/>
          <w:sz w:val="24"/>
          <w:szCs w:val="24"/>
        </w:rPr>
        <w:lastRenderedPageBreak/>
        <w:t>perbedaan kinerja tersebut signifikan secara statistik dibandingkan model pembanding, sementara stress testing memperlihatkan bahwa model tetap stabil dalam kondisi pasar yang fluktuatif, sehingga pendekatan ini dinilai efektif dan adaptif untuk mendukung pengambilan keputusan dalam manajemen risiko keuangan.</w:t>
      </w:r>
    </w:p>
    <w:sectPr w:rsidR="00456222" w:rsidRPr="008D1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40F"/>
    <w:rsid w:val="003F6C76"/>
    <w:rsid w:val="00456222"/>
    <w:rsid w:val="00784E8E"/>
    <w:rsid w:val="0084035F"/>
    <w:rsid w:val="00852BD8"/>
    <w:rsid w:val="008D17A0"/>
    <w:rsid w:val="0096040F"/>
    <w:rsid w:val="00BF7CF7"/>
    <w:rsid w:val="00C04BA0"/>
    <w:rsid w:val="00C1294B"/>
    <w:rsid w:val="00ED00A6"/>
    <w:rsid w:val="00F447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415E"/>
  <w15:chartTrackingRefBased/>
  <w15:docId w15:val="{DC0CA8BD-0289-4E72-81CD-FFB8FB90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9604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4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4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4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4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40F"/>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96040F"/>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96040F"/>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96040F"/>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96040F"/>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96040F"/>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96040F"/>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96040F"/>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96040F"/>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960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40F"/>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960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40F"/>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96040F"/>
    <w:pPr>
      <w:spacing w:before="160"/>
      <w:jc w:val="center"/>
    </w:pPr>
    <w:rPr>
      <w:i/>
      <w:iCs/>
      <w:color w:val="404040" w:themeColor="text1" w:themeTint="BF"/>
    </w:rPr>
  </w:style>
  <w:style w:type="character" w:customStyle="1" w:styleId="QuoteChar">
    <w:name w:val="Quote Char"/>
    <w:basedOn w:val="DefaultParagraphFont"/>
    <w:link w:val="Quote"/>
    <w:uiPriority w:val="29"/>
    <w:rsid w:val="0096040F"/>
    <w:rPr>
      <w:i/>
      <w:iCs/>
      <w:noProof/>
      <w:color w:val="404040" w:themeColor="text1" w:themeTint="BF"/>
      <w:lang w:val="id-ID"/>
    </w:rPr>
  </w:style>
  <w:style w:type="paragraph" w:styleId="ListParagraph">
    <w:name w:val="List Paragraph"/>
    <w:basedOn w:val="Normal"/>
    <w:uiPriority w:val="34"/>
    <w:qFormat/>
    <w:rsid w:val="0096040F"/>
    <w:pPr>
      <w:ind w:left="720"/>
      <w:contextualSpacing/>
    </w:pPr>
  </w:style>
  <w:style w:type="character" w:styleId="IntenseEmphasis">
    <w:name w:val="Intense Emphasis"/>
    <w:basedOn w:val="DefaultParagraphFont"/>
    <w:uiPriority w:val="21"/>
    <w:qFormat/>
    <w:rsid w:val="0096040F"/>
    <w:rPr>
      <w:i/>
      <w:iCs/>
      <w:color w:val="2F5496" w:themeColor="accent1" w:themeShade="BF"/>
    </w:rPr>
  </w:style>
  <w:style w:type="paragraph" w:styleId="IntenseQuote">
    <w:name w:val="Intense Quote"/>
    <w:basedOn w:val="Normal"/>
    <w:next w:val="Normal"/>
    <w:link w:val="IntenseQuoteChar"/>
    <w:uiPriority w:val="30"/>
    <w:qFormat/>
    <w:rsid w:val="00960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40F"/>
    <w:rPr>
      <w:i/>
      <w:iCs/>
      <w:noProof/>
      <w:color w:val="2F5496" w:themeColor="accent1" w:themeShade="BF"/>
      <w:lang w:val="id-ID"/>
    </w:rPr>
  </w:style>
  <w:style w:type="character" w:styleId="IntenseReference">
    <w:name w:val="Intense Reference"/>
    <w:basedOn w:val="DefaultParagraphFont"/>
    <w:uiPriority w:val="32"/>
    <w:qFormat/>
    <w:rsid w:val="009604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2635</Words>
  <Characters>15024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Fakultas Ekonomi</dc:creator>
  <cp:keywords/>
  <dc:description/>
  <cp:lastModifiedBy>Fakultas Ekonomi</cp:lastModifiedBy>
  <cp:revision>9</cp:revision>
  <dcterms:created xsi:type="dcterms:W3CDTF">2026-04-28T04:14:00Z</dcterms:created>
  <dcterms:modified xsi:type="dcterms:W3CDTF">2026-04-28T04:53:00Z</dcterms:modified>
</cp:coreProperties>
</file>