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10FA4" w14:textId="5239768B" w:rsidR="00F4473F" w:rsidRDefault="00D5139D">
      <w:pPr>
        <w:rPr>
          <w:lang w:val="en-US"/>
        </w:rPr>
      </w:pPr>
      <w:r>
        <w:rPr>
          <w:lang w:val="en-US"/>
        </w:rPr>
        <w:t>Single feature</w:t>
      </w:r>
    </w:p>
    <w:p w14:paraId="7CAD422B" w14:textId="465B0F8A" w:rsidR="00D5139D" w:rsidRPr="00D5139D" w:rsidRDefault="00D5139D">
      <w:pPr>
        <w:rPr>
          <w:lang w:val="en-US"/>
        </w:rPr>
      </w:pPr>
      <w:r>
        <w:rPr>
          <w:lang w:val="en-US"/>
        </w:rPr>
        <w:t>Dari data saham bank bca selama 5 tahun (2021-2025) dengan jumlah data sebanyak 1204 dengan output Naik sebanyak 530 (44%), Turun sebanyak 554 (46%) dan Stabil sebanyak 120 (10%). Data-data ini akan di olah lebih lanjut dan dibagi pertahun dan perbulan untuk mengatahui pada bulan apa saja saham bbca mengalami kenaikan, penuruan dan stabil.</w:t>
      </w:r>
    </w:p>
    <w:sectPr w:rsidR="00D5139D" w:rsidRPr="00D513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59B"/>
    <w:rsid w:val="0084035F"/>
    <w:rsid w:val="00A50E71"/>
    <w:rsid w:val="00A7159B"/>
    <w:rsid w:val="00C04BA0"/>
    <w:rsid w:val="00D5139D"/>
    <w:rsid w:val="00ED00A6"/>
    <w:rsid w:val="00F4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4C97D"/>
  <w15:chartTrackingRefBased/>
  <w15:docId w15:val="{18401EC7-C93F-41A6-8795-1B6CEC95C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1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5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5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59B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59B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59B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59B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59B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59B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59B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59B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59B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A71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59B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59B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A71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59B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A71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5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5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59B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A715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53</Words>
  <Characters>304</Characters>
  <Application>Microsoft Office Word</Application>
  <DocSecurity>0</DocSecurity>
  <Lines>2</Lines>
  <Paragraphs>1</Paragraphs>
  <ScaleCrop>false</ScaleCrop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Fakultas Ekonomi</dc:creator>
  <cp:keywords/>
  <dc:description/>
  <cp:lastModifiedBy>Fakultas Ekonomi</cp:lastModifiedBy>
  <cp:revision>2</cp:revision>
  <dcterms:created xsi:type="dcterms:W3CDTF">2026-03-11T01:18:00Z</dcterms:created>
  <dcterms:modified xsi:type="dcterms:W3CDTF">2026-03-11T01:23:00Z</dcterms:modified>
</cp:coreProperties>
</file>