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6B1D" w14:textId="26ACC6CE" w:rsidR="000342FF" w:rsidRPr="007078A7" w:rsidRDefault="007078A7" w:rsidP="007078A7">
      <w:pPr>
        <w:jc w:val="both"/>
        <w:rPr>
          <w:rFonts w:cstheme="minorHAnsi"/>
          <w:sz w:val="24"/>
          <w:szCs w:val="24"/>
          <w:lang w:val="en-US"/>
        </w:rPr>
      </w:pPr>
      <w:r w:rsidRPr="007078A7">
        <w:rPr>
          <w:rFonts w:cstheme="minorHAnsi"/>
          <w:sz w:val="24"/>
          <w:szCs w:val="24"/>
          <w:lang w:val="en-US"/>
        </w:rPr>
        <w:t>LATAR BELAKANG</w:t>
      </w:r>
    </w:p>
    <w:p w14:paraId="3E9201A0" w14:textId="77777777" w:rsidR="007078A7" w:rsidRPr="007078A7" w:rsidRDefault="007078A7" w:rsidP="007078A7">
      <w:pPr>
        <w:jc w:val="both"/>
        <w:rPr>
          <w:rFonts w:cstheme="minorHAnsi"/>
          <w:sz w:val="24"/>
          <w:szCs w:val="24"/>
          <w:lang w:val="en-US"/>
        </w:rPr>
      </w:pPr>
      <w:r w:rsidRPr="007078A7">
        <w:rPr>
          <w:rFonts w:cstheme="minorHAnsi"/>
          <w:sz w:val="24"/>
          <w:szCs w:val="24"/>
          <w:lang w:val="en-US"/>
        </w:rPr>
        <w:t>Perbankan memegang peranan yang sangat vital sebagai motor penggerak stabilitas ekonomi di Indonesia. Performa saham-saham perbankan dengan kapitalisasi pasar besar (big cap)—seperti BBCA, BBRI, BMRI, dan BBNI—sering kali dijadikan barometer atau cerminan langsung dari kondisi makroekonomi nasional di pasar modal (Mishkin, 2016). Pelaku pasar, manajer investasi, maupun institusi keuangan perlu memahami karakteristik dan memantau arah pergerakan harga saham di sektor ini sebagai agenda krusial untuk mengamankan nilai aset sekaligus mengoptimalkan imbal hasil (return) secara konsisten (Bodie et al., 2018).</w:t>
      </w:r>
    </w:p>
    <w:p w14:paraId="02553EC1" w14:textId="77777777" w:rsidR="007078A7" w:rsidRPr="007078A7" w:rsidRDefault="007078A7" w:rsidP="007078A7">
      <w:pPr>
        <w:jc w:val="both"/>
        <w:rPr>
          <w:rFonts w:cstheme="minorHAnsi"/>
          <w:sz w:val="24"/>
          <w:szCs w:val="24"/>
          <w:lang w:val="en-US"/>
        </w:rPr>
      </w:pPr>
    </w:p>
    <w:p w14:paraId="1B552D9C" w14:textId="77777777" w:rsidR="007078A7" w:rsidRPr="007078A7" w:rsidRDefault="007078A7" w:rsidP="007078A7">
      <w:pPr>
        <w:jc w:val="both"/>
        <w:rPr>
          <w:rFonts w:cstheme="minorHAnsi"/>
          <w:sz w:val="24"/>
          <w:szCs w:val="24"/>
          <w:lang w:val="en-US"/>
        </w:rPr>
      </w:pPr>
      <w:r w:rsidRPr="007078A7">
        <w:rPr>
          <w:rFonts w:cstheme="minorHAnsi"/>
          <w:sz w:val="24"/>
          <w:szCs w:val="24"/>
          <w:lang w:val="en-US"/>
        </w:rPr>
        <w:t>Dinamika pasar saham selalu dibayangi oleh ketidakpastian yang tinggi dan fluktuasi harga yang acak. Aktivitas perdagangan harian yang cepat (velocity) menghasilkan tumpukan data deret waktu (time-series) dalam volume yang sangat besar (volume). Pengambil keputusan rentan terjebak dalam spekulasi yang mengandalkan insting semata (intuition-based decision making) jika data historis ini hanya dilihat sebagai deretan angka mati tanpa adanya metode pengolahan yang tepat.</w:t>
      </w:r>
    </w:p>
    <w:p w14:paraId="2DC375B1" w14:textId="77777777" w:rsidR="007078A7" w:rsidRPr="007078A7" w:rsidRDefault="007078A7" w:rsidP="007078A7">
      <w:pPr>
        <w:jc w:val="both"/>
        <w:rPr>
          <w:rFonts w:cstheme="minorHAnsi"/>
          <w:sz w:val="24"/>
          <w:szCs w:val="24"/>
          <w:lang w:val="en-US"/>
        </w:rPr>
      </w:pPr>
    </w:p>
    <w:p w14:paraId="3E86E4BD" w14:textId="77777777" w:rsidR="007078A7" w:rsidRPr="007078A7" w:rsidRDefault="007078A7" w:rsidP="007078A7">
      <w:pPr>
        <w:jc w:val="both"/>
        <w:rPr>
          <w:rFonts w:cstheme="minorHAnsi"/>
          <w:sz w:val="24"/>
          <w:szCs w:val="24"/>
          <w:lang w:val="en-US"/>
        </w:rPr>
      </w:pPr>
      <w:r w:rsidRPr="007078A7">
        <w:rPr>
          <w:rFonts w:cstheme="minorHAnsi"/>
          <w:sz w:val="24"/>
          <w:szCs w:val="24"/>
          <w:lang w:val="en-US"/>
        </w:rPr>
        <w:t>Penerapan Business Intelligence (BI) menjadi sebuah langkah strategis yang tidak bisa ditawar lagi oleh institusi keuangan untuk meminimalkan risiko tersebut. BI bekerja dengan mengubah data mentah—baik itu harga penutupan harian, volume perdagangan, hingga rasio keuangan—menjadi sebuah informasi terstruktur yang memiliki nilai guna bagi bisnis (Turban et al., 2011). Pendekatan deskriptif seperti Simple Moving Average (SMA) untuk menyaring gejolak harian (noise) dan memetakan tren harga, serta perhitungan standar deviasi untuk mengukur tingkat risiko (volatilitas), membuat BI mampu menggeser pola pengambilan keputusan dari yang semula berbasis intuisi menjadi berbasis bukti data yang kuat (data-driven decision making) (Bhardwaj &amp; Kumar, 2011).</w:t>
      </w:r>
    </w:p>
    <w:p w14:paraId="5801ED8B" w14:textId="77777777" w:rsidR="007078A7" w:rsidRPr="007078A7" w:rsidRDefault="007078A7" w:rsidP="007078A7">
      <w:pPr>
        <w:jc w:val="both"/>
        <w:rPr>
          <w:rFonts w:cstheme="minorHAnsi"/>
          <w:sz w:val="24"/>
          <w:szCs w:val="24"/>
          <w:lang w:val="en-US"/>
        </w:rPr>
      </w:pPr>
    </w:p>
    <w:p w14:paraId="1A4B4DC2" w14:textId="5D02C0E4" w:rsidR="007078A7" w:rsidRDefault="007078A7" w:rsidP="007078A7">
      <w:pPr>
        <w:jc w:val="both"/>
        <w:rPr>
          <w:rFonts w:cstheme="minorHAnsi"/>
          <w:sz w:val="24"/>
          <w:szCs w:val="24"/>
          <w:lang w:val="en-US"/>
        </w:rPr>
      </w:pPr>
      <w:r w:rsidRPr="007078A7">
        <w:rPr>
          <w:rFonts w:cstheme="minorHAnsi"/>
          <w:sz w:val="24"/>
          <w:szCs w:val="24"/>
          <w:lang w:val="en-US"/>
        </w:rPr>
        <w:t>Penulisan laporan ini ditujukan untuk membedah kinerja serta pola pergerakan harga empat saham bank raksasa (BBCA, BBRI, BMRI, BBNI) beserta indeks pasar (IHSG) sepanjang periode tahun 2024 hingga 2025. Analisis ini dirancang lewat kerangka kerja Business Intelligence untuk memetakan tren pergerakan tiap saham, membandingkan risiko dan keuntungan antar bank (peer-group analysis), menggali wawasan di balik lonjakan volatilitas pasar, serta menyimulasikan intervensi kebijakan bobot portofolio yang dinamis guna menekan risiko investasi secara optimal.</w:t>
      </w:r>
    </w:p>
    <w:p w14:paraId="4AA31652" w14:textId="77777777" w:rsidR="00B71FED" w:rsidRDefault="00B71FED" w:rsidP="007078A7">
      <w:pPr>
        <w:jc w:val="both"/>
        <w:rPr>
          <w:rFonts w:cstheme="minorHAnsi"/>
          <w:sz w:val="24"/>
          <w:szCs w:val="24"/>
          <w:lang w:val="en-US"/>
        </w:rPr>
      </w:pPr>
    </w:p>
    <w:p w14:paraId="1841C07E" w14:textId="77777777" w:rsidR="00B71FED" w:rsidRDefault="00B71FED" w:rsidP="007078A7">
      <w:pPr>
        <w:jc w:val="both"/>
        <w:rPr>
          <w:rFonts w:cstheme="minorHAnsi"/>
          <w:sz w:val="24"/>
          <w:szCs w:val="24"/>
          <w:lang w:val="en-US"/>
        </w:rPr>
      </w:pPr>
    </w:p>
    <w:p w14:paraId="7E40B092" w14:textId="77777777" w:rsidR="00B71FED" w:rsidRDefault="00B71FED" w:rsidP="007078A7">
      <w:pPr>
        <w:jc w:val="both"/>
        <w:rPr>
          <w:rFonts w:cstheme="minorHAnsi"/>
          <w:sz w:val="24"/>
          <w:szCs w:val="24"/>
          <w:lang w:val="en-US"/>
        </w:rPr>
      </w:pPr>
    </w:p>
    <w:p w14:paraId="3C21D493" w14:textId="77777777" w:rsidR="00B71FED" w:rsidRPr="00B71FED" w:rsidRDefault="00B71FED" w:rsidP="00B71FED">
      <w:pPr>
        <w:jc w:val="both"/>
        <w:rPr>
          <w:rFonts w:cstheme="minorHAnsi"/>
          <w:b/>
          <w:bCs/>
          <w:sz w:val="24"/>
          <w:szCs w:val="24"/>
          <w:lang w:val="en-ID"/>
        </w:rPr>
      </w:pPr>
      <w:r w:rsidRPr="00B71FED">
        <w:rPr>
          <w:rFonts w:cstheme="minorHAnsi"/>
          <w:b/>
          <w:bCs/>
          <w:sz w:val="24"/>
          <w:szCs w:val="24"/>
          <w:lang w:val="en-ID"/>
        </w:rPr>
        <w:t>References:</w:t>
      </w:r>
    </w:p>
    <w:p w14:paraId="78E4E444" w14:textId="77777777" w:rsidR="00B71FED" w:rsidRPr="00B71FED" w:rsidRDefault="00B71FED" w:rsidP="00B71FED">
      <w:pPr>
        <w:numPr>
          <w:ilvl w:val="0"/>
          <w:numId w:val="1"/>
        </w:numPr>
        <w:jc w:val="both"/>
        <w:rPr>
          <w:rFonts w:cstheme="minorHAnsi"/>
          <w:sz w:val="24"/>
          <w:szCs w:val="24"/>
          <w:lang w:val="en-ID"/>
        </w:rPr>
      </w:pPr>
      <w:r w:rsidRPr="00B71FED">
        <w:rPr>
          <w:rFonts w:cstheme="minorHAnsi"/>
          <w:sz w:val="24"/>
          <w:szCs w:val="24"/>
          <w:lang w:val="en-ID"/>
        </w:rPr>
        <w:lastRenderedPageBreak/>
        <w:t xml:space="preserve">Bhardwaj, B. K., &amp; Kumar, S. (2011). Data Mining: A prediction for performance improvement using classification. </w:t>
      </w:r>
      <w:r w:rsidRPr="00B71FED">
        <w:rPr>
          <w:rFonts w:cstheme="minorHAnsi"/>
          <w:i/>
          <w:iCs/>
          <w:sz w:val="24"/>
          <w:szCs w:val="24"/>
          <w:lang w:val="en-ID"/>
        </w:rPr>
        <w:t>International Journal of Computer Science and Information Security</w:t>
      </w:r>
      <w:r w:rsidRPr="00B71FED">
        <w:rPr>
          <w:rFonts w:cstheme="minorHAnsi"/>
          <w:sz w:val="24"/>
          <w:szCs w:val="24"/>
          <w:lang w:val="en-ID"/>
        </w:rPr>
        <w:t>, 9(4), 136-140.</w:t>
      </w:r>
    </w:p>
    <w:p w14:paraId="0015EEE1" w14:textId="77777777" w:rsidR="00B71FED" w:rsidRPr="00B71FED" w:rsidRDefault="00B71FED" w:rsidP="00B71FED">
      <w:pPr>
        <w:numPr>
          <w:ilvl w:val="0"/>
          <w:numId w:val="1"/>
        </w:numPr>
        <w:jc w:val="both"/>
        <w:rPr>
          <w:rFonts w:cstheme="minorHAnsi"/>
          <w:sz w:val="24"/>
          <w:szCs w:val="24"/>
          <w:lang w:val="en-ID"/>
        </w:rPr>
      </w:pPr>
      <w:r w:rsidRPr="00B71FED">
        <w:rPr>
          <w:rFonts w:cstheme="minorHAnsi"/>
          <w:sz w:val="24"/>
          <w:szCs w:val="24"/>
          <w:lang w:val="en-ID"/>
        </w:rPr>
        <w:t xml:space="preserve">Bodie, Z., Kane, A., &amp; Marcus, A. J. (2018). </w:t>
      </w:r>
      <w:r w:rsidRPr="00B71FED">
        <w:rPr>
          <w:rFonts w:cstheme="minorHAnsi"/>
          <w:i/>
          <w:iCs/>
          <w:sz w:val="24"/>
          <w:szCs w:val="24"/>
          <w:lang w:val="en-ID"/>
        </w:rPr>
        <w:t>Investments</w:t>
      </w:r>
      <w:r w:rsidRPr="00B71FED">
        <w:rPr>
          <w:rFonts w:cstheme="minorHAnsi"/>
          <w:sz w:val="24"/>
          <w:szCs w:val="24"/>
          <w:lang w:val="en-ID"/>
        </w:rPr>
        <w:t xml:space="preserve"> (11th ed.). McGraw-Hill Education.</w:t>
      </w:r>
    </w:p>
    <w:p w14:paraId="6479F00C" w14:textId="77777777" w:rsidR="00B71FED" w:rsidRPr="00B71FED" w:rsidRDefault="00B71FED" w:rsidP="00B71FED">
      <w:pPr>
        <w:numPr>
          <w:ilvl w:val="0"/>
          <w:numId w:val="1"/>
        </w:numPr>
        <w:jc w:val="both"/>
        <w:rPr>
          <w:rFonts w:cstheme="minorHAnsi"/>
          <w:sz w:val="24"/>
          <w:szCs w:val="24"/>
          <w:lang w:val="en-ID"/>
        </w:rPr>
      </w:pPr>
      <w:r w:rsidRPr="00B71FED">
        <w:rPr>
          <w:rFonts w:cstheme="minorHAnsi"/>
          <w:sz w:val="24"/>
          <w:szCs w:val="24"/>
          <w:lang w:val="en-ID"/>
        </w:rPr>
        <w:t xml:space="preserve">Mishkin, F. S. (2016). </w:t>
      </w:r>
      <w:r w:rsidRPr="00B71FED">
        <w:rPr>
          <w:rFonts w:cstheme="minorHAnsi"/>
          <w:i/>
          <w:iCs/>
          <w:sz w:val="24"/>
          <w:szCs w:val="24"/>
          <w:lang w:val="en-ID"/>
        </w:rPr>
        <w:t>The Economics of Money, Banking, and Financial Markets</w:t>
      </w:r>
      <w:r w:rsidRPr="00B71FED">
        <w:rPr>
          <w:rFonts w:cstheme="minorHAnsi"/>
          <w:sz w:val="24"/>
          <w:szCs w:val="24"/>
          <w:lang w:val="en-ID"/>
        </w:rPr>
        <w:t xml:space="preserve"> (11th ed.). Pearson.</w:t>
      </w:r>
    </w:p>
    <w:p w14:paraId="34FAF30C" w14:textId="77777777" w:rsidR="00B71FED" w:rsidRPr="00B71FED" w:rsidRDefault="00B71FED" w:rsidP="00B71FED">
      <w:pPr>
        <w:numPr>
          <w:ilvl w:val="0"/>
          <w:numId w:val="1"/>
        </w:numPr>
        <w:jc w:val="both"/>
        <w:rPr>
          <w:rFonts w:cstheme="minorHAnsi"/>
          <w:sz w:val="24"/>
          <w:szCs w:val="24"/>
          <w:lang w:val="en-ID"/>
        </w:rPr>
      </w:pPr>
      <w:r w:rsidRPr="00B71FED">
        <w:rPr>
          <w:rFonts w:cstheme="minorHAnsi"/>
          <w:sz w:val="24"/>
          <w:szCs w:val="24"/>
          <w:lang w:val="en-ID"/>
        </w:rPr>
        <w:t xml:space="preserve">Turban, E., Sharda, R., Delen, D., &amp; King, D. (2011). </w:t>
      </w:r>
      <w:r w:rsidRPr="00B71FED">
        <w:rPr>
          <w:rFonts w:cstheme="minorHAnsi"/>
          <w:i/>
          <w:iCs/>
          <w:sz w:val="24"/>
          <w:szCs w:val="24"/>
          <w:lang w:val="en-ID"/>
        </w:rPr>
        <w:t>Business Intelligence: A Managerial Approach</w:t>
      </w:r>
      <w:r w:rsidRPr="00B71FED">
        <w:rPr>
          <w:rFonts w:cstheme="minorHAnsi"/>
          <w:sz w:val="24"/>
          <w:szCs w:val="24"/>
          <w:lang w:val="en-ID"/>
        </w:rPr>
        <w:t xml:space="preserve"> (2nd ed.). Pearson.</w:t>
      </w:r>
    </w:p>
    <w:p w14:paraId="56804DAB" w14:textId="77777777" w:rsidR="00B71FED" w:rsidRPr="007078A7" w:rsidRDefault="00B71FED" w:rsidP="007078A7">
      <w:pPr>
        <w:jc w:val="both"/>
        <w:rPr>
          <w:rFonts w:cstheme="minorHAnsi"/>
          <w:sz w:val="24"/>
          <w:szCs w:val="24"/>
          <w:lang w:val="en-US"/>
        </w:rPr>
      </w:pPr>
    </w:p>
    <w:sectPr w:rsidR="00B71FED" w:rsidRPr="00707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D17FA"/>
    <w:multiLevelType w:val="multilevel"/>
    <w:tmpl w:val="32D6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9B"/>
    <w:rsid w:val="000342FF"/>
    <w:rsid w:val="0012167A"/>
    <w:rsid w:val="004757E5"/>
    <w:rsid w:val="00563136"/>
    <w:rsid w:val="00596F42"/>
    <w:rsid w:val="007078A7"/>
    <w:rsid w:val="0084035F"/>
    <w:rsid w:val="008F4EDD"/>
    <w:rsid w:val="00A002AD"/>
    <w:rsid w:val="00A50E71"/>
    <w:rsid w:val="00A7159B"/>
    <w:rsid w:val="00AA37A3"/>
    <w:rsid w:val="00B71FED"/>
    <w:rsid w:val="00C04BA0"/>
    <w:rsid w:val="00C11E54"/>
    <w:rsid w:val="00D5139D"/>
    <w:rsid w:val="00ED00A6"/>
    <w:rsid w:val="00EF78EE"/>
    <w:rsid w:val="00F447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C97D"/>
  <w15:chartTrackingRefBased/>
  <w15:docId w15:val="{18401EC7-C93F-41A6-8795-1B6CEC95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A71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9B"/>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A7159B"/>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A7159B"/>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A7159B"/>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A7159B"/>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A7159B"/>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A7159B"/>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A7159B"/>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A7159B"/>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A71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59B"/>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A71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59B"/>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A7159B"/>
    <w:pPr>
      <w:spacing w:before="160"/>
      <w:jc w:val="center"/>
    </w:pPr>
    <w:rPr>
      <w:i/>
      <w:iCs/>
      <w:color w:val="404040" w:themeColor="text1" w:themeTint="BF"/>
    </w:rPr>
  </w:style>
  <w:style w:type="character" w:customStyle="1" w:styleId="QuoteChar">
    <w:name w:val="Quote Char"/>
    <w:basedOn w:val="DefaultParagraphFont"/>
    <w:link w:val="Quote"/>
    <w:uiPriority w:val="29"/>
    <w:rsid w:val="00A7159B"/>
    <w:rPr>
      <w:i/>
      <w:iCs/>
      <w:noProof/>
      <w:color w:val="404040" w:themeColor="text1" w:themeTint="BF"/>
      <w:lang w:val="id-ID"/>
    </w:rPr>
  </w:style>
  <w:style w:type="paragraph" w:styleId="ListParagraph">
    <w:name w:val="List Paragraph"/>
    <w:basedOn w:val="Normal"/>
    <w:uiPriority w:val="34"/>
    <w:qFormat/>
    <w:rsid w:val="00A7159B"/>
    <w:pPr>
      <w:ind w:left="720"/>
      <w:contextualSpacing/>
    </w:pPr>
  </w:style>
  <w:style w:type="character" w:styleId="IntenseEmphasis">
    <w:name w:val="Intense Emphasis"/>
    <w:basedOn w:val="DefaultParagraphFont"/>
    <w:uiPriority w:val="21"/>
    <w:qFormat/>
    <w:rsid w:val="00A7159B"/>
    <w:rPr>
      <w:i/>
      <w:iCs/>
      <w:color w:val="2F5496" w:themeColor="accent1" w:themeShade="BF"/>
    </w:rPr>
  </w:style>
  <w:style w:type="paragraph" w:styleId="IntenseQuote">
    <w:name w:val="Intense Quote"/>
    <w:basedOn w:val="Normal"/>
    <w:next w:val="Normal"/>
    <w:link w:val="IntenseQuoteChar"/>
    <w:uiPriority w:val="30"/>
    <w:qFormat/>
    <w:rsid w:val="00A71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59B"/>
    <w:rPr>
      <w:i/>
      <w:iCs/>
      <w:noProof/>
      <w:color w:val="2F5496" w:themeColor="accent1" w:themeShade="BF"/>
      <w:lang w:val="id-ID"/>
    </w:rPr>
  </w:style>
  <w:style w:type="character" w:styleId="IntenseReference">
    <w:name w:val="Intense Reference"/>
    <w:basedOn w:val="DefaultParagraphFont"/>
    <w:uiPriority w:val="32"/>
    <w:qFormat/>
    <w:rsid w:val="00A715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7</cp:revision>
  <dcterms:created xsi:type="dcterms:W3CDTF">2026-03-11T01:18:00Z</dcterms:created>
  <dcterms:modified xsi:type="dcterms:W3CDTF">2026-06-08T04:49:00Z</dcterms:modified>
</cp:coreProperties>
</file>