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ED86D">
      <w:pPr>
        <w:spacing w:line="360" w:lineRule="auto"/>
        <w:jc w:val="center"/>
        <w:rPr>
          <w:rFonts w:ascii="宋体" w:hAnsi="宋体" w:eastAsia="宋体" w:cs="Times New Roman"/>
          <w:b/>
          <w:sz w:val="28"/>
          <w:szCs w:val="28"/>
        </w:rPr>
      </w:pPr>
      <w:r>
        <w:rPr>
          <w:rFonts w:ascii="宋体" w:hAnsi="宋体" w:eastAsia="宋体" w:cs="Times New Roman"/>
          <w:b/>
          <w:sz w:val="28"/>
          <w:szCs w:val="28"/>
        </w:rPr>
        <w:t>关于举办第四届“经典学思悟 建功新时代”系列主题文献研读大赛的通知（学生）</w:t>
      </w:r>
    </w:p>
    <w:p w14:paraId="4D6190E2">
      <w:pPr>
        <w:spacing w:line="360" w:lineRule="auto"/>
        <w:jc w:val="center"/>
        <w:rPr>
          <w:rFonts w:ascii="宋体" w:hAnsi="宋体" w:eastAsia="宋体" w:cs="Times New Roman"/>
          <w:b/>
          <w:sz w:val="28"/>
          <w:szCs w:val="28"/>
        </w:rPr>
      </w:pPr>
    </w:p>
    <w:p w14:paraId="33000C4A">
      <w:pPr>
        <w:spacing w:line="360"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2026年是中国工农红军长征胜利90周年、“十五五”规划开局之年。在党带领人民推进中国式现代化的历史进程中，马克思主义及其中国化时代化的重大理论成果是指引我们攻坚克难、不断创造新辉煌的根本指导思想和理论武器。为党育人、为国育才，是时代赋予思想政治理论课的光荣使命。为了更好培养掌握马克思主义和党的创新理论的时代英才，在建设社会主义现代化国家的新征程上继续创造新的成绩，武汉大学“毛泽东思想和中国特色社会主义理论体系概论”课程教学研究中心继续举办“经典学思悟 建功新时代”系列主题文献研读大赛。现就各有关事项作出如下要求和说明。</w:t>
      </w:r>
    </w:p>
    <w:p w14:paraId="23E432B9">
      <w:pPr>
        <w:spacing w:line="360"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1.“经典学思悟 建功新时代”系列主题文献研读大赛分为初赛和学校评审，初赛由每个“概论”课任课教师在教学课堂上自行组织进行，各专题小组在老师公布的经典文献篇目中自主选择，每个小组人数以6-</w:t>
      </w:r>
      <w:r>
        <w:rPr>
          <w:rFonts w:ascii="宋体" w:hAnsi="宋体" w:eastAsia="宋体" w:cs="Times New Roman"/>
          <w:sz w:val="24"/>
          <w:szCs w:val="24"/>
        </w:rPr>
        <w:t>10</w:t>
      </w:r>
      <w:r>
        <w:rPr>
          <w:rFonts w:hint="eastAsia" w:ascii="宋体" w:hAnsi="宋体" w:eastAsia="宋体" w:cs="Times New Roman"/>
          <w:sz w:val="24"/>
          <w:szCs w:val="24"/>
        </w:rPr>
        <w:t>人为宜，各专题小组形成一篇不少于</w:t>
      </w:r>
      <w:r>
        <w:rPr>
          <w:rFonts w:ascii="宋体" w:hAnsi="宋体" w:eastAsia="宋体" w:cs="Times New Roman"/>
          <w:sz w:val="24"/>
          <w:szCs w:val="24"/>
        </w:rPr>
        <w:t>6000</w:t>
      </w:r>
      <w:r>
        <w:rPr>
          <w:rFonts w:hint="eastAsia" w:ascii="宋体" w:hAnsi="宋体" w:eastAsia="宋体" w:cs="Times New Roman"/>
          <w:sz w:val="24"/>
          <w:szCs w:val="24"/>
        </w:rPr>
        <w:t>字的读书报告，并以微视频、P</w:t>
      </w:r>
      <w:r>
        <w:rPr>
          <w:rFonts w:ascii="宋体" w:hAnsi="宋体" w:eastAsia="宋体" w:cs="Times New Roman"/>
          <w:sz w:val="24"/>
          <w:szCs w:val="24"/>
        </w:rPr>
        <w:t>PT</w:t>
      </w:r>
      <w:r>
        <w:rPr>
          <w:rFonts w:hint="eastAsia" w:ascii="宋体" w:hAnsi="宋体" w:eastAsia="宋体" w:cs="Times New Roman"/>
          <w:sz w:val="24"/>
          <w:szCs w:val="24"/>
        </w:rPr>
        <w:t>展示等多种形式进行课堂展示汇报，并现场评分。</w:t>
      </w:r>
      <w:r>
        <w:rPr>
          <w:rFonts w:hint="eastAsia" w:ascii="宋体" w:hAnsi="宋体" w:eastAsia="宋体" w:cs="Times New Roman"/>
          <w:b/>
          <w:color w:val="000000"/>
          <w:sz w:val="24"/>
          <w:szCs w:val="24"/>
        </w:rPr>
        <w:t>小组读书报告交由任课教师，由任课教师评阅打分，展示成绩和教师评阅成绩平均后作为学生平时成绩，所占比例为最终成绩的</w:t>
      </w:r>
      <w:r>
        <w:rPr>
          <w:rFonts w:ascii="宋体" w:hAnsi="宋体" w:eastAsia="宋体" w:cs="Times New Roman"/>
          <w:b/>
          <w:color w:val="000000"/>
          <w:sz w:val="24"/>
          <w:szCs w:val="24"/>
        </w:rPr>
        <w:t>20</w:t>
      </w:r>
      <w:r>
        <w:rPr>
          <w:rFonts w:hint="eastAsia" w:ascii="宋体" w:hAnsi="宋体" w:eastAsia="宋体" w:cs="Times New Roman"/>
          <w:b/>
          <w:color w:val="000000"/>
          <w:sz w:val="24"/>
          <w:szCs w:val="24"/>
        </w:rPr>
        <w:t>%。</w:t>
      </w:r>
    </w:p>
    <w:p w14:paraId="724ED711">
      <w:pPr>
        <w:spacing w:line="360"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2. 每个课堂选出适当名额的优秀读书报告参加学校评审。课堂人数不足60人只能提交一篇读书报告，课堂人数在60人-120人之间可以提交两篇读书报告，课堂人数超过120人可以提交三篇读书报告。每个教学班所推选出的优秀作品由任课教师或助教汇总后，应于11月15日24点前提交电子版给“概论”课程教学研究中心。提交的读书报告应包括题目、任课教师、成员等信息，并按照格式要求规范写作。具体要求如下：</w:t>
      </w:r>
    </w:p>
    <w:p w14:paraId="559D8CDA">
      <w:pPr>
        <w:spacing w:line="360"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（1）作品命名格式：学院+团队负责人姓名+作品名称。</w:t>
      </w:r>
    </w:p>
    <w:p w14:paraId="183173C5">
      <w:pPr>
        <w:spacing w:line="360"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（2）</w:t>
      </w:r>
      <w:r>
        <w:rPr>
          <w:rFonts w:ascii="宋体" w:hAnsi="宋体" w:eastAsia="宋体" w:cs="Times New Roman"/>
          <w:sz w:val="24"/>
          <w:szCs w:val="24"/>
        </w:rPr>
        <w:t>团队成员信息</w:t>
      </w:r>
      <w:r>
        <w:rPr>
          <w:rFonts w:hint="eastAsia" w:ascii="宋体" w:hAnsi="宋体" w:eastAsia="宋体" w:cs="Times New Roman"/>
          <w:sz w:val="24"/>
          <w:szCs w:val="24"/>
        </w:rPr>
        <w:t>应清楚列明，后续评审和</w:t>
      </w:r>
      <w:r>
        <w:rPr>
          <w:rFonts w:ascii="宋体" w:hAnsi="宋体" w:eastAsia="宋体" w:cs="Times New Roman"/>
          <w:sz w:val="24"/>
          <w:szCs w:val="24"/>
        </w:rPr>
        <w:t>获奖即以</w:t>
      </w:r>
      <w:r>
        <w:rPr>
          <w:rFonts w:hint="eastAsia" w:ascii="宋体" w:hAnsi="宋体" w:eastAsia="宋体" w:cs="Times New Roman"/>
          <w:sz w:val="24"/>
          <w:szCs w:val="24"/>
        </w:rPr>
        <w:t>提交</w:t>
      </w:r>
      <w:r>
        <w:rPr>
          <w:rFonts w:ascii="宋体" w:hAnsi="宋体" w:eastAsia="宋体" w:cs="Times New Roman"/>
          <w:sz w:val="24"/>
          <w:szCs w:val="24"/>
        </w:rPr>
        <w:t>名单为准</w:t>
      </w:r>
      <w:r>
        <w:rPr>
          <w:rFonts w:hint="eastAsia" w:ascii="宋体" w:hAnsi="宋体" w:eastAsia="宋体" w:cs="Times New Roman"/>
          <w:sz w:val="24"/>
          <w:szCs w:val="24"/>
        </w:rPr>
        <w:t>（排名不分先后）</w:t>
      </w:r>
      <w:r>
        <w:rPr>
          <w:rFonts w:ascii="宋体" w:hAnsi="宋体" w:eastAsia="宋体" w:cs="Times New Roman"/>
          <w:sz w:val="24"/>
          <w:szCs w:val="24"/>
        </w:rPr>
        <w:t>，不再变动。</w:t>
      </w:r>
    </w:p>
    <w:p w14:paraId="3C33079C">
      <w:pPr>
        <w:spacing w:line="360" w:lineRule="auto"/>
        <w:ind w:firstLine="480" w:firstLineChars="200"/>
        <w:jc w:val="left"/>
        <w:rPr>
          <w:rFonts w:ascii="宋体" w:hAnsi="宋体" w:eastAsia="宋体" w:cs="Times New Roman"/>
          <w:b/>
          <w:color w:val="FF0000"/>
          <w:sz w:val="24"/>
          <w:szCs w:val="24"/>
        </w:rPr>
      </w:pPr>
      <w:r>
        <w:rPr>
          <w:rFonts w:hint="eastAsia" w:ascii="宋体" w:hAnsi="宋体" w:eastAsia="宋体" w:cs="Times New Roman"/>
          <w:sz w:val="24"/>
          <w:szCs w:val="24"/>
        </w:rPr>
        <w:t>（3）校赛作品形式和时间：电子版提交给付克新老师邮箱174666031@qq.com， 11月15日晚24点截止，过时不予接收。</w:t>
      </w:r>
    </w:p>
    <w:p w14:paraId="01E47B79">
      <w:pPr>
        <w:spacing w:line="360" w:lineRule="auto"/>
        <w:ind w:firstLine="480" w:firstLineChars="200"/>
        <w:jc w:val="left"/>
        <w:rPr>
          <w:rFonts w:ascii="宋体" w:hAnsi="宋体" w:eastAsia="宋体" w:cs="Times New Roman"/>
          <w:b/>
          <w:sz w:val="24"/>
          <w:szCs w:val="24"/>
        </w:rPr>
      </w:pPr>
      <w:r>
        <w:rPr>
          <w:rFonts w:ascii="宋体" w:hAnsi="宋体" w:eastAsia="宋体" w:cs="Times New Roman"/>
          <w:sz w:val="24"/>
          <w:szCs w:val="24"/>
        </w:rPr>
        <w:t>4.当参赛作品提交完成后，由概论课程教研中心组织评审，评出一、二、三等奖若干名，并于</w:t>
      </w:r>
      <w:r>
        <w:rPr>
          <w:rFonts w:hint="eastAsia" w:ascii="宋体" w:hAnsi="宋体" w:eastAsia="宋体" w:cs="Times New Roman"/>
          <w:sz w:val="24"/>
          <w:szCs w:val="24"/>
        </w:rPr>
        <w:t>学期末或适当时候颁发证书</w:t>
      </w:r>
      <w:r>
        <w:rPr>
          <w:rFonts w:ascii="宋体" w:hAnsi="宋体" w:eastAsia="宋体" w:cs="Times New Roman"/>
          <w:sz w:val="24"/>
          <w:szCs w:val="24"/>
        </w:rPr>
        <w:t>。评审和颁奖具体事项根据比赛进程再行发布。</w:t>
      </w:r>
    </w:p>
    <w:p w14:paraId="7750BCF2">
      <w:pPr>
        <w:spacing w:line="360" w:lineRule="auto"/>
        <w:ind w:left="840"/>
        <w:jc w:val="righ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概论</w:t>
      </w:r>
      <w:r>
        <w:rPr>
          <w:rFonts w:hint="eastAsia" w:ascii="宋体" w:hAnsi="宋体" w:eastAsia="宋体" w:cs="Times New Roman"/>
          <w:sz w:val="24"/>
          <w:szCs w:val="24"/>
        </w:rPr>
        <w:t>”</w:t>
      </w:r>
      <w:r>
        <w:rPr>
          <w:rFonts w:ascii="宋体" w:hAnsi="宋体" w:eastAsia="宋体" w:cs="Times New Roman"/>
          <w:sz w:val="24"/>
          <w:szCs w:val="24"/>
        </w:rPr>
        <w:t>教学研究中心</w:t>
      </w:r>
    </w:p>
    <w:p w14:paraId="6F6D8FBD">
      <w:pPr>
        <w:spacing w:line="360" w:lineRule="auto"/>
        <w:ind w:left="840"/>
        <w:jc w:val="right"/>
        <w:rPr>
          <w:rFonts w:ascii="宋体" w:hAnsi="宋体" w:eastAsia="宋体" w:cs="Times New Roman"/>
          <w:sz w:val="24"/>
          <w:szCs w:val="24"/>
        </w:rPr>
      </w:pPr>
      <w:r>
        <w:rPr>
          <w:rFonts w:hint="eastAsia" w:ascii="宋体" w:hAnsi="宋体" w:eastAsia="宋体" w:cs="Times New Roman"/>
          <w:sz w:val="24"/>
          <w:szCs w:val="24"/>
        </w:rPr>
        <w:t>2026年 9月1日</w:t>
      </w:r>
    </w:p>
    <w:p w14:paraId="77DB2632">
      <w:pPr>
        <w:spacing w:line="360" w:lineRule="auto"/>
        <w:ind w:left="435"/>
        <w:jc w:val="left"/>
        <w:rPr>
          <w:rFonts w:ascii="宋体" w:hAnsi="宋体" w:eastAsia="宋体" w:cs="Times New Roman"/>
          <w:b/>
          <w:bCs/>
          <w:sz w:val="24"/>
          <w:szCs w:val="24"/>
        </w:rPr>
      </w:pPr>
      <w:r>
        <w:rPr>
          <w:rFonts w:hint="eastAsia" w:ascii="宋体" w:hAnsi="宋体" w:eastAsia="宋体" w:cs="Times New Roman"/>
          <w:b/>
          <w:bCs/>
          <w:sz w:val="24"/>
          <w:szCs w:val="24"/>
        </w:rPr>
        <w:t>附录一：经典文献篇目（备选）</w:t>
      </w:r>
    </w:p>
    <w:p w14:paraId="2D553C68">
      <w:pPr>
        <w:spacing w:line="360" w:lineRule="auto"/>
        <w:ind w:left="435"/>
        <w:jc w:val="left"/>
        <w:rPr>
          <w:rFonts w:ascii="宋体" w:hAnsi="宋体" w:eastAsia="宋体" w:cs="Times New Roman"/>
          <w:sz w:val="24"/>
          <w:szCs w:val="24"/>
        </w:rPr>
      </w:pPr>
      <w:r>
        <w:rPr>
          <w:rFonts w:hint="eastAsia" w:ascii="宋体" w:hAnsi="宋体" w:eastAsia="宋体" w:cs="Times New Roman"/>
          <w:sz w:val="24"/>
          <w:szCs w:val="24"/>
        </w:rPr>
        <w:t>（任课老师可根据教学实际增加）</w:t>
      </w:r>
    </w:p>
    <w:p w14:paraId="76C08DB5">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1.毛泽东：《中国社会各阶级的分析》（1925年）</w:t>
      </w:r>
    </w:p>
    <w:p w14:paraId="4950A861">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2.毛泽东：《星星之火，可以燎原》（1930年）</w:t>
      </w:r>
    </w:p>
    <w:p w14:paraId="3F4363F0">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3.毛泽东：《反对本本主义》（1930年）</w:t>
      </w:r>
    </w:p>
    <w:p w14:paraId="51287E04">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4.毛泽东：《实践论》（1937年）</w:t>
      </w:r>
    </w:p>
    <w:p w14:paraId="43266D40">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5.毛泽东：《&lt;共产党人&gt;发刊词》（1939年）</w:t>
      </w:r>
    </w:p>
    <w:p w14:paraId="5564495E">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6.毛泽东：《新民主主义论》（1940年）</w:t>
      </w:r>
    </w:p>
    <w:p w14:paraId="5CDEF060">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7.毛泽东：《论联合政府》（1945年）</w:t>
      </w:r>
    </w:p>
    <w:p w14:paraId="20B9393D">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8. 《关于若干历史问题的决议》（1945年）</w:t>
      </w:r>
    </w:p>
    <w:p w14:paraId="0BE2C54B">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9.毛泽东：《在中国共产党第七届中央委员会第二次全体会议上的报告》（1949年）</w:t>
      </w:r>
    </w:p>
    <w:p w14:paraId="6122F36E">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10.毛泽东：《论人民民主专政》（1949年）</w:t>
      </w:r>
    </w:p>
    <w:p w14:paraId="1C682071">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11.毛泽东：《革命的转变和党在过渡时期的总路线》（1953年）</w:t>
      </w:r>
    </w:p>
    <w:p w14:paraId="16311A91">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12.毛泽东：《论十大关系》（1956年）</w:t>
      </w:r>
    </w:p>
    <w:p w14:paraId="7E10AC9C">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13.毛泽东：《关于正确处理人民内部矛盾的问题》（1957年）</w:t>
      </w:r>
    </w:p>
    <w:p w14:paraId="62C55179">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14.毛泽东：《读苏联&lt;政治经济学教科书&gt;的谈话(节选)》（1959-1960年）</w:t>
      </w:r>
    </w:p>
    <w:p w14:paraId="2122A7FF">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15.邓小平：《解放思想，实事求是，团结一致向前看》（1978年）</w:t>
      </w:r>
    </w:p>
    <w:p w14:paraId="56DAB97B">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16. 《中国共产党中央委员会关于建国以来党的若干历史问题的决议》（1981年），同时参考邓小平：《对起草&lt;关于建国以来党的若干历史问题的决议&gt;的意见》（1980-1981年）</w:t>
      </w:r>
    </w:p>
    <w:p w14:paraId="432FE967">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17.邓小平：《坚持四项基本原则》（1979年）</w:t>
      </w:r>
    </w:p>
    <w:p w14:paraId="49797419">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18.邓小平：《在武昌、深圳、珠海、上海等地的谈话要点》（1992年）</w:t>
      </w:r>
    </w:p>
    <w:p w14:paraId="7A82F2B1">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19.江泽民：《正确处理社会主义现代化建设中的若干重大关系》（1995年）</w:t>
      </w:r>
    </w:p>
    <w:p w14:paraId="19014BC5">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20.江泽民：《在庆祝中国共产党成立八十周年大会上的讲话》（2001年）</w:t>
      </w:r>
    </w:p>
    <w:p w14:paraId="3502D5B6">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21.胡锦涛：《准确把握科学发展观的深刻内涵和基本要求》（2004年）</w:t>
      </w:r>
    </w:p>
    <w:p w14:paraId="29C1EC60">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22.胡锦涛：《在庆祝中国共产党成立九十周年大会上的讲话》（2011年）</w:t>
      </w:r>
    </w:p>
    <w:p w14:paraId="615A97B5">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23.习近平：《正确认识改革开放前和改革开放后两个历史时期》（2013年）</w:t>
      </w:r>
    </w:p>
    <w:p w14:paraId="5182AD7A">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24.习近平：《在纪念毛泽东同志诞辰120周年座谈会上的讲话》（2013年）</w:t>
      </w:r>
    </w:p>
    <w:p w14:paraId="50F0E3C0">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25.习近平：《在纪念毛泽东同志诞辰130周年座谈会上的讲话》（2023年）</w:t>
      </w:r>
    </w:p>
    <w:p w14:paraId="28D7AD2E">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26.习近平：《在纪念邓小平同志诞辰110周年座谈会上的讲话》（2014年）</w:t>
      </w:r>
    </w:p>
    <w:p w14:paraId="43253221">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27.习近平：《在纪念邓小平同志诞辰120周年座谈会上的讲话》（2024年）</w:t>
      </w:r>
    </w:p>
    <w:p w14:paraId="1B3ED6FE">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28.习近平：《在纪念江泽民同志诞辰100周年大会上的讲话》（2026年）</w:t>
      </w:r>
    </w:p>
    <w:p w14:paraId="25C65F8D">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29.《中共中央关于党的百年奋斗重大成就和历史经验的决议》（2021年）</w:t>
      </w:r>
    </w:p>
    <w:p w14:paraId="190209EE">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30.习近平：《在庆祝中国共产党成立100周年大会上的讲话》（2021年）</w:t>
      </w:r>
    </w:p>
    <w:p w14:paraId="5595B01B">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31. 习近平：《在纪念中国人民抗日战争暨世界反法西斯战争胜利80周年大会上的讲话》（2025）</w:t>
      </w:r>
    </w:p>
    <w:p w14:paraId="733134B9">
      <w:pPr>
        <w:spacing w:line="360" w:lineRule="auto"/>
        <w:ind w:left="435"/>
        <w:jc w:val="left"/>
        <w:rPr>
          <w:rFonts w:ascii="宋体" w:hAnsi="宋体" w:eastAsia="宋体" w:cs="Times New Roman"/>
          <w:sz w:val="24"/>
          <w:szCs w:val="24"/>
        </w:rPr>
      </w:pPr>
      <w:r>
        <w:rPr>
          <w:rFonts w:ascii="宋体" w:hAnsi="宋体" w:eastAsia="宋体" w:cs="Times New Roman"/>
          <w:sz w:val="24"/>
          <w:szCs w:val="24"/>
        </w:rPr>
        <w:t>32.习近平：《在庆祝中国共产党成立105周年大会上的讲话》（2026年）</w:t>
      </w:r>
    </w:p>
    <w:p w14:paraId="0136D994">
      <w:pPr>
        <w:spacing w:line="360" w:lineRule="auto"/>
        <w:ind w:left="435"/>
        <w:jc w:val="left"/>
        <w:rPr>
          <w:rFonts w:hint="eastAsia" w:ascii="宋体" w:hAnsi="宋体" w:eastAsia="宋体" w:cs="Times New Roman"/>
          <w:sz w:val="24"/>
          <w:szCs w:val="24"/>
          <w:lang w:eastAsia="zh-CN"/>
        </w:rPr>
      </w:pPr>
      <w:r>
        <w:rPr>
          <w:rFonts w:ascii="宋体" w:hAnsi="宋体" w:eastAsia="宋体" w:cs="Times New Roman"/>
          <w:sz w:val="24"/>
          <w:szCs w:val="24"/>
        </w:rPr>
        <w:t>33.习近平：《在纪念红军长征胜利90周年大会上的讲话》（2026年）</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预增加</w:t>
      </w:r>
      <w:bookmarkStart w:id="0" w:name="_GoBack"/>
      <w:bookmarkEnd w:id="0"/>
      <w:r>
        <w:rPr>
          <w:rFonts w:hint="eastAsia" w:ascii="宋体" w:hAnsi="宋体" w:eastAsia="宋体" w:cs="Times New Roman"/>
          <w:sz w:val="24"/>
          <w:szCs w:val="24"/>
          <w:lang w:eastAsia="zh-CN"/>
        </w:rPr>
        <w:t>）</w:t>
      </w:r>
    </w:p>
    <w:p w14:paraId="4D4C5025">
      <w:pPr>
        <w:spacing w:line="360" w:lineRule="auto"/>
        <w:jc w:val="left"/>
        <w:rPr>
          <w:rFonts w:ascii="宋体" w:hAnsi="宋体" w:eastAsia="宋体" w:cs="Times New Roman"/>
          <w:b/>
          <w:sz w:val="24"/>
          <w:szCs w:val="24"/>
        </w:rPr>
      </w:pPr>
      <w:r>
        <w:rPr>
          <w:rFonts w:hint="eastAsia" w:ascii="宋体" w:hAnsi="宋体" w:eastAsia="宋体" w:cs="Times New Roman"/>
          <w:b/>
          <w:sz w:val="24"/>
          <w:szCs w:val="24"/>
        </w:rPr>
        <w:t>附录二：读书报告要求</w:t>
      </w:r>
    </w:p>
    <w:p w14:paraId="03AB7C54">
      <w:pPr>
        <w:numPr>
          <w:ilvl w:val="0"/>
          <w:numId w:val="1"/>
        </w:numPr>
        <w:spacing w:line="360" w:lineRule="auto"/>
        <w:jc w:val="left"/>
        <w:rPr>
          <w:rFonts w:ascii="宋体" w:hAnsi="宋体" w:eastAsia="宋体" w:cs="Times New Roman"/>
          <w:sz w:val="24"/>
          <w:szCs w:val="24"/>
        </w:rPr>
      </w:pPr>
      <w:r>
        <w:rPr>
          <w:rFonts w:hint="eastAsia" w:ascii="宋体" w:hAnsi="宋体" w:eastAsia="宋体" w:cs="Times New Roman"/>
          <w:sz w:val="24"/>
          <w:szCs w:val="24"/>
        </w:rPr>
        <w:t>篇幅不少于6</w:t>
      </w:r>
      <w:r>
        <w:rPr>
          <w:rFonts w:ascii="宋体" w:hAnsi="宋体" w:eastAsia="宋体" w:cs="Times New Roman"/>
          <w:sz w:val="24"/>
          <w:szCs w:val="24"/>
        </w:rPr>
        <w:t>000</w:t>
      </w:r>
      <w:r>
        <w:rPr>
          <w:rFonts w:hint="eastAsia" w:ascii="宋体" w:hAnsi="宋体" w:eastAsia="宋体" w:cs="Times New Roman"/>
          <w:sz w:val="24"/>
          <w:szCs w:val="24"/>
        </w:rPr>
        <w:t>字，应包括题目、署名、前言、正文、结语。读书报告形式可以多样，鼓励学生经典“心”读，经典新读，读出新意、读出精彩。</w:t>
      </w:r>
    </w:p>
    <w:p w14:paraId="64CD50AB">
      <w:pPr>
        <w:numPr>
          <w:ilvl w:val="0"/>
          <w:numId w:val="1"/>
        </w:numPr>
        <w:spacing w:line="360" w:lineRule="auto"/>
        <w:jc w:val="left"/>
        <w:rPr>
          <w:rFonts w:ascii="宋体" w:hAnsi="宋体" w:eastAsia="宋体" w:cs="Times New Roman"/>
          <w:sz w:val="24"/>
          <w:szCs w:val="24"/>
        </w:rPr>
      </w:pPr>
      <w:r>
        <w:rPr>
          <w:rFonts w:hint="eastAsia" w:ascii="宋体" w:hAnsi="宋体" w:eastAsia="宋体" w:cs="Times New Roman"/>
          <w:sz w:val="24"/>
          <w:szCs w:val="24"/>
        </w:rPr>
        <w:t>具体格式如下：</w:t>
      </w:r>
    </w:p>
    <w:p w14:paraId="339CAC21">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题目，黑体四号字；署名，宋体四号字；内容，宋体小四号字，标题加粗，行间距1.</w:t>
      </w:r>
      <w:r>
        <w:rPr>
          <w:rFonts w:ascii="宋体" w:hAnsi="宋体" w:eastAsia="宋体" w:cs="Times New Roman"/>
          <w:sz w:val="24"/>
          <w:szCs w:val="24"/>
        </w:rPr>
        <w:t>5</w:t>
      </w:r>
      <w:r>
        <w:rPr>
          <w:rFonts w:hint="eastAsia" w:ascii="宋体" w:hAnsi="宋体" w:eastAsia="宋体" w:cs="Times New Roman"/>
          <w:sz w:val="24"/>
          <w:szCs w:val="24"/>
        </w:rPr>
        <w:t>倍。</w:t>
      </w:r>
    </w:p>
    <w:p w14:paraId="1C843912">
      <w:pPr>
        <w:spacing w:line="360" w:lineRule="auto"/>
        <w:jc w:val="left"/>
        <w:rPr>
          <w:rFonts w:ascii="宋体" w:hAnsi="宋体" w:eastAsia="宋体" w:cs="Times New Roman"/>
          <w:sz w:val="24"/>
          <w:szCs w:val="24"/>
        </w:rPr>
      </w:pPr>
    </w:p>
    <w:p w14:paraId="178E1B2B">
      <w:pPr>
        <w:spacing w:line="360" w:lineRule="auto"/>
        <w:jc w:val="left"/>
        <w:rPr>
          <w:rFonts w:ascii="宋体" w:hAnsi="宋体" w:eastAsia="宋体" w:cs="Times New Roman"/>
          <w:b/>
          <w:sz w:val="24"/>
          <w:szCs w:val="24"/>
        </w:rPr>
      </w:pPr>
      <w:r>
        <w:rPr>
          <w:rFonts w:hint="eastAsia" w:ascii="宋体" w:hAnsi="宋体" w:eastAsia="宋体" w:cs="Times New Roman"/>
          <w:b/>
          <w:sz w:val="24"/>
          <w:szCs w:val="24"/>
        </w:rPr>
        <w:t>附录三：参考文献格式</w:t>
      </w:r>
    </w:p>
    <w:p w14:paraId="41B4F9DE">
      <w:pPr>
        <w:spacing w:line="360"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读书报告注释请采用页下注（脚注，每页重新编码），用①、②、③…进行标注；文末不再单独列参考文献。具体注释格式举例如下：</w:t>
      </w:r>
    </w:p>
    <w:p w14:paraId="56E28ACB">
      <w:pPr>
        <w:spacing w:line="360" w:lineRule="auto"/>
        <w:jc w:val="left"/>
        <w:rPr>
          <w:rFonts w:ascii="宋体" w:hAnsi="宋体" w:eastAsia="宋体" w:cs="Times New Roman"/>
          <w:sz w:val="24"/>
          <w:szCs w:val="24"/>
        </w:rPr>
      </w:pPr>
      <w:r>
        <w:rPr>
          <w:rFonts w:ascii="宋体" w:hAnsi="宋体" w:eastAsia="宋体" w:cs="Times New Roman"/>
          <w:sz w:val="24"/>
          <w:szCs w:val="24"/>
        </w:rPr>
        <w:t>1.经典著作和文献汇编：</w:t>
      </w:r>
    </w:p>
    <w:p w14:paraId="4BF38315">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《马克思恩格斯选集》第</w:t>
      </w:r>
      <w:r>
        <w:rPr>
          <w:rFonts w:ascii="宋体" w:hAnsi="宋体" w:eastAsia="宋体" w:cs="Times New Roman"/>
          <w:sz w:val="24"/>
          <w:szCs w:val="24"/>
        </w:rPr>
        <w:t>1卷，人民出版社2012年版，第XX页。</w:t>
      </w:r>
    </w:p>
    <w:p w14:paraId="57F8A7B3">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《毛泽东选集》第</w:t>
      </w:r>
      <w:r>
        <w:rPr>
          <w:rFonts w:ascii="宋体" w:hAnsi="宋体" w:eastAsia="宋体" w:cs="Times New Roman"/>
          <w:sz w:val="24"/>
          <w:szCs w:val="24"/>
        </w:rPr>
        <w:t>1卷，人民出版社1991年版，第XX页。</w:t>
      </w:r>
    </w:p>
    <w:p w14:paraId="79466D84">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《习近平谈治国理政》第</w:t>
      </w:r>
      <w:r>
        <w:rPr>
          <w:rFonts w:ascii="宋体" w:hAnsi="宋体" w:eastAsia="宋体" w:cs="Times New Roman"/>
          <w:sz w:val="24"/>
          <w:szCs w:val="24"/>
        </w:rPr>
        <w:t>1卷，外文出版社2018年版，第XX页。</w:t>
      </w:r>
    </w:p>
    <w:p w14:paraId="1DE46BF3">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习近平：《决胜全面建成小康社会夺取新时代中国特色社会主义伟</w:t>
      </w:r>
    </w:p>
    <w:p w14:paraId="5F0DFAA7">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大胜利——在中国共产党第十九次全国代表大会上的报告》，人民出版社</w:t>
      </w:r>
      <w:r>
        <w:rPr>
          <w:rFonts w:ascii="宋体" w:hAnsi="宋体" w:eastAsia="宋体" w:cs="Times New Roman"/>
          <w:sz w:val="24"/>
          <w:szCs w:val="24"/>
        </w:rPr>
        <w:t>2017 年版，第XX 页。</w:t>
      </w:r>
    </w:p>
    <w:p w14:paraId="3655CD68">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中共中央文献研究室、中央档案馆编：《建党以来重要文献选编》第</w:t>
      </w:r>
      <w:r>
        <w:rPr>
          <w:rFonts w:ascii="宋体" w:hAnsi="宋体" w:eastAsia="宋体" w:cs="Times New Roman"/>
          <w:sz w:val="24"/>
          <w:szCs w:val="24"/>
        </w:rPr>
        <w:t>1册，中央文献出版社2011年版，第XX页。</w:t>
      </w:r>
    </w:p>
    <w:p w14:paraId="14B5E879">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中共中央文献研究室编：《十八大以来重要文献选编》（上），中央文献出版社</w:t>
      </w:r>
      <w:r>
        <w:rPr>
          <w:rFonts w:ascii="宋体" w:hAnsi="宋体" w:eastAsia="宋体" w:cs="Times New Roman"/>
          <w:sz w:val="24"/>
          <w:szCs w:val="24"/>
        </w:rPr>
        <w:t>2014年版，第XX页。</w:t>
      </w:r>
    </w:p>
    <w:p w14:paraId="21A42DB2">
      <w:pPr>
        <w:spacing w:line="360" w:lineRule="auto"/>
        <w:jc w:val="left"/>
        <w:rPr>
          <w:rFonts w:ascii="宋体" w:hAnsi="宋体" w:eastAsia="宋体" w:cs="Times New Roman"/>
          <w:sz w:val="24"/>
          <w:szCs w:val="24"/>
        </w:rPr>
      </w:pPr>
      <w:r>
        <w:rPr>
          <w:rFonts w:ascii="宋体" w:hAnsi="宋体" w:eastAsia="宋体" w:cs="Times New Roman"/>
          <w:sz w:val="24"/>
          <w:szCs w:val="24"/>
        </w:rPr>
        <w:t>2. 专著论著译著等：</w:t>
      </w:r>
    </w:p>
    <w:p w14:paraId="3279C0EF">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林尚立：《中国共产党与国家建设》，天津人民出版社</w:t>
      </w:r>
      <w:r>
        <w:rPr>
          <w:rFonts w:ascii="宋体" w:hAnsi="宋体" w:eastAsia="宋体" w:cs="Times New Roman"/>
          <w:sz w:val="24"/>
          <w:szCs w:val="24"/>
        </w:rPr>
        <w:t>2009年版，第XX页。</w:t>
      </w:r>
    </w:p>
    <w:p w14:paraId="03EB5E4E">
      <w:pPr>
        <w:spacing w:line="360" w:lineRule="auto"/>
        <w:jc w:val="left"/>
        <w:rPr>
          <w:rFonts w:ascii="宋体" w:hAnsi="宋体" w:eastAsia="宋体" w:cs="Times New Roman"/>
          <w:sz w:val="24"/>
          <w:szCs w:val="24"/>
        </w:rPr>
      </w:pPr>
      <w:r>
        <w:rPr>
          <w:rFonts w:ascii="宋体" w:hAnsi="宋体" w:eastAsia="宋体" w:cs="Times New Roman"/>
          <w:sz w:val="24"/>
          <w:szCs w:val="24"/>
        </w:rPr>
        <w:t>[美]史蒂芬·E.弗兰泽奇：《技术年代的政党》，李秀梅译，商务印书馆2010年版，第XX页。</w:t>
      </w:r>
    </w:p>
    <w:p w14:paraId="778D82C4">
      <w:pPr>
        <w:spacing w:line="360" w:lineRule="auto"/>
        <w:jc w:val="left"/>
        <w:rPr>
          <w:rFonts w:ascii="宋体" w:hAnsi="宋体" w:eastAsia="宋体" w:cs="Times New Roman"/>
          <w:sz w:val="24"/>
          <w:szCs w:val="24"/>
        </w:rPr>
      </w:pPr>
      <w:r>
        <w:rPr>
          <w:rFonts w:ascii="宋体" w:hAnsi="宋体" w:eastAsia="宋体" w:cs="Times New Roman"/>
          <w:sz w:val="24"/>
          <w:szCs w:val="24"/>
        </w:rPr>
        <w:t>Maurice Duverger. Political Parties: Their Organization and Activity in the Modern State. London: Methuen &amp; Co.LTD, 1954, p.XX.</w:t>
      </w:r>
    </w:p>
    <w:p w14:paraId="0ADE8E65">
      <w:pPr>
        <w:spacing w:line="360" w:lineRule="auto"/>
        <w:jc w:val="left"/>
        <w:rPr>
          <w:rFonts w:ascii="宋体" w:hAnsi="宋体" w:eastAsia="宋体" w:cs="Times New Roman"/>
          <w:sz w:val="24"/>
          <w:szCs w:val="24"/>
        </w:rPr>
      </w:pPr>
      <w:r>
        <w:rPr>
          <w:rFonts w:ascii="宋体" w:hAnsi="宋体" w:eastAsia="宋体" w:cs="Times New Roman"/>
          <w:sz w:val="24"/>
          <w:szCs w:val="24"/>
        </w:rPr>
        <w:t>3.期刊：</w:t>
      </w:r>
    </w:p>
    <w:p w14:paraId="17096F78">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习近平</w:t>
      </w:r>
      <w:r>
        <w:rPr>
          <w:rFonts w:ascii="宋体" w:hAnsi="宋体" w:eastAsia="宋体" w:cs="Times New Roman"/>
          <w:sz w:val="24"/>
          <w:szCs w:val="24"/>
        </w:rPr>
        <w:t>:《增强推进党的政治建设的自觉性和坚定性》,《求是》2019年第14期。</w:t>
      </w:r>
    </w:p>
    <w:p w14:paraId="6005F99A">
      <w:pPr>
        <w:spacing w:line="360" w:lineRule="auto"/>
        <w:jc w:val="left"/>
        <w:rPr>
          <w:rFonts w:ascii="宋体" w:hAnsi="宋体" w:eastAsia="宋体" w:cs="Times New Roman"/>
          <w:sz w:val="24"/>
          <w:szCs w:val="24"/>
        </w:rPr>
      </w:pPr>
      <w:r>
        <w:rPr>
          <w:rFonts w:ascii="宋体" w:hAnsi="宋体" w:eastAsia="宋体" w:cs="Times New Roman"/>
          <w:sz w:val="24"/>
          <w:szCs w:val="24"/>
        </w:rPr>
        <w:t>F. Bizzarro, J. Gerring, C. H. Knutsen, A. Hicken, M. Bernhard. Party Strength and Economic Growth. World Politics, Vol.70, 2018(2):275-320.</w:t>
      </w:r>
    </w:p>
    <w:p w14:paraId="60456CD3">
      <w:pPr>
        <w:spacing w:line="360" w:lineRule="auto"/>
        <w:jc w:val="left"/>
        <w:rPr>
          <w:rFonts w:ascii="宋体" w:hAnsi="宋体" w:eastAsia="宋体" w:cs="Times New Roman"/>
          <w:sz w:val="24"/>
          <w:szCs w:val="24"/>
        </w:rPr>
      </w:pPr>
      <w:r>
        <w:rPr>
          <w:rFonts w:ascii="宋体" w:hAnsi="宋体" w:eastAsia="宋体" w:cs="Times New Roman"/>
          <w:sz w:val="24"/>
          <w:szCs w:val="24"/>
        </w:rPr>
        <w:t>4.报纸：</w:t>
      </w:r>
    </w:p>
    <w:p w14:paraId="626CB95C">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习近平：《以解决突出问题为突破口和主抓手推动党的十八届六中全会精神落到实处》，《人民日报》</w:t>
      </w:r>
      <w:r>
        <w:rPr>
          <w:rFonts w:ascii="宋体" w:hAnsi="宋体" w:eastAsia="宋体" w:cs="Times New Roman"/>
          <w:sz w:val="24"/>
          <w:szCs w:val="24"/>
        </w:rPr>
        <w:t>2017年2月14日。</w:t>
      </w:r>
    </w:p>
    <w:p w14:paraId="000FEF0B">
      <w:pPr>
        <w:spacing w:line="360" w:lineRule="auto"/>
        <w:jc w:val="left"/>
        <w:rPr>
          <w:rFonts w:ascii="宋体" w:hAnsi="宋体" w:eastAsia="宋体" w:cs="Times New Roman"/>
          <w:sz w:val="24"/>
          <w:szCs w:val="24"/>
        </w:rPr>
      </w:pPr>
      <w:r>
        <w:rPr>
          <w:rFonts w:ascii="宋体" w:hAnsi="宋体" w:eastAsia="宋体" w:cs="Times New Roman"/>
          <w:sz w:val="24"/>
          <w:szCs w:val="24"/>
        </w:rPr>
        <w:t>5.网站或网页文章、消息：</w:t>
      </w:r>
    </w:p>
    <w:p w14:paraId="7E522CB1">
      <w:pPr>
        <w:spacing w:line="360" w:lineRule="auto"/>
        <w:jc w:val="left"/>
        <w:rPr>
          <w:rFonts w:ascii="宋体" w:hAnsi="宋体" w:eastAsia="宋体" w:cs="Times New Roman"/>
          <w:sz w:val="24"/>
          <w:szCs w:val="24"/>
        </w:rPr>
      </w:pPr>
      <w:r>
        <w:rPr>
          <w:rFonts w:hint="eastAsia" w:ascii="宋体" w:hAnsi="宋体" w:eastAsia="宋体" w:cs="Times New Roman"/>
          <w:sz w:val="24"/>
          <w:szCs w:val="24"/>
        </w:rPr>
        <w:t>李君如：《社会主要矛盾的转化是中国特色社会主义进入新时代的根据》，</w:t>
      </w:r>
      <w:r>
        <w:rPr>
          <w:rFonts w:ascii="宋体" w:hAnsi="宋体" w:eastAsia="宋体" w:cs="Times New Roman"/>
          <w:sz w:val="24"/>
          <w:szCs w:val="24"/>
        </w:rPr>
        <w:t>http://theory.gmw.cn/2017-10/30/content_26650786.htm，2017-10-30/2018-04-19。</w:t>
      </w:r>
    </w:p>
    <w:p w14:paraId="753B5A2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046B6"/>
    <w:multiLevelType w:val="multilevel"/>
    <w:tmpl w:val="210046B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8E1"/>
    <w:rsid w:val="000005D1"/>
    <w:rsid w:val="00000B56"/>
    <w:rsid w:val="00002B24"/>
    <w:rsid w:val="000062E6"/>
    <w:rsid w:val="00017444"/>
    <w:rsid w:val="00042535"/>
    <w:rsid w:val="000478A3"/>
    <w:rsid w:val="00077DDC"/>
    <w:rsid w:val="0008190E"/>
    <w:rsid w:val="0008420E"/>
    <w:rsid w:val="00090804"/>
    <w:rsid w:val="000937FC"/>
    <w:rsid w:val="000A57CD"/>
    <w:rsid w:val="000A6540"/>
    <w:rsid w:val="000D10A2"/>
    <w:rsid w:val="000D7FC2"/>
    <w:rsid w:val="000E2720"/>
    <w:rsid w:val="000F3C9F"/>
    <w:rsid w:val="000F6003"/>
    <w:rsid w:val="001017C2"/>
    <w:rsid w:val="00120163"/>
    <w:rsid w:val="0012104D"/>
    <w:rsid w:val="00144782"/>
    <w:rsid w:val="00176460"/>
    <w:rsid w:val="00184BB2"/>
    <w:rsid w:val="001A4170"/>
    <w:rsid w:val="001B78C9"/>
    <w:rsid w:val="001C0D6D"/>
    <w:rsid w:val="001D48E5"/>
    <w:rsid w:val="001E41A9"/>
    <w:rsid w:val="001F696C"/>
    <w:rsid w:val="00230DA6"/>
    <w:rsid w:val="00243433"/>
    <w:rsid w:val="00252CE8"/>
    <w:rsid w:val="002734FC"/>
    <w:rsid w:val="002876F4"/>
    <w:rsid w:val="002F173B"/>
    <w:rsid w:val="0031479E"/>
    <w:rsid w:val="00323F2C"/>
    <w:rsid w:val="00335626"/>
    <w:rsid w:val="003365C3"/>
    <w:rsid w:val="0034055B"/>
    <w:rsid w:val="0034309A"/>
    <w:rsid w:val="00346B36"/>
    <w:rsid w:val="00375E1A"/>
    <w:rsid w:val="003850C4"/>
    <w:rsid w:val="003B12ED"/>
    <w:rsid w:val="003C6AE0"/>
    <w:rsid w:val="003E708D"/>
    <w:rsid w:val="00401293"/>
    <w:rsid w:val="00412008"/>
    <w:rsid w:val="004300A4"/>
    <w:rsid w:val="004370AB"/>
    <w:rsid w:val="00437356"/>
    <w:rsid w:val="004454C1"/>
    <w:rsid w:val="004533E7"/>
    <w:rsid w:val="0046794E"/>
    <w:rsid w:val="004833A6"/>
    <w:rsid w:val="0048541B"/>
    <w:rsid w:val="004A190F"/>
    <w:rsid w:val="004A7F4B"/>
    <w:rsid w:val="004B2076"/>
    <w:rsid w:val="004B2168"/>
    <w:rsid w:val="004B244F"/>
    <w:rsid w:val="004B75F0"/>
    <w:rsid w:val="004C04F1"/>
    <w:rsid w:val="004D42D2"/>
    <w:rsid w:val="004E09E9"/>
    <w:rsid w:val="004E1A77"/>
    <w:rsid w:val="004E4E7E"/>
    <w:rsid w:val="004E51C8"/>
    <w:rsid w:val="005037D2"/>
    <w:rsid w:val="00516DD0"/>
    <w:rsid w:val="0052202B"/>
    <w:rsid w:val="00523445"/>
    <w:rsid w:val="00525772"/>
    <w:rsid w:val="0053629B"/>
    <w:rsid w:val="00543FAA"/>
    <w:rsid w:val="00545ACF"/>
    <w:rsid w:val="00547D4A"/>
    <w:rsid w:val="0055661D"/>
    <w:rsid w:val="005600BA"/>
    <w:rsid w:val="00561121"/>
    <w:rsid w:val="005652D2"/>
    <w:rsid w:val="0058000D"/>
    <w:rsid w:val="00590C89"/>
    <w:rsid w:val="005A3E18"/>
    <w:rsid w:val="005E0207"/>
    <w:rsid w:val="005E63FC"/>
    <w:rsid w:val="006129B5"/>
    <w:rsid w:val="00627184"/>
    <w:rsid w:val="00647E99"/>
    <w:rsid w:val="00650FC8"/>
    <w:rsid w:val="0065230A"/>
    <w:rsid w:val="00653404"/>
    <w:rsid w:val="00654583"/>
    <w:rsid w:val="00670AE3"/>
    <w:rsid w:val="00676367"/>
    <w:rsid w:val="0067759A"/>
    <w:rsid w:val="00677D1D"/>
    <w:rsid w:val="00681091"/>
    <w:rsid w:val="006843EA"/>
    <w:rsid w:val="006942B5"/>
    <w:rsid w:val="00697A03"/>
    <w:rsid w:val="006C71A3"/>
    <w:rsid w:val="006E27B4"/>
    <w:rsid w:val="006E6747"/>
    <w:rsid w:val="006F086E"/>
    <w:rsid w:val="006F3B16"/>
    <w:rsid w:val="00713A07"/>
    <w:rsid w:val="00726971"/>
    <w:rsid w:val="00734A0D"/>
    <w:rsid w:val="0074386E"/>
    <w:rsid w:val="00773E41"/>
    <w:rsid w:val="0077406E"/>
    <w:rsid w:val="00780CF8"/>
    <w:rsid w:val="007A1742"/>
    <w:rsid w:val="007A2656"/>
    <w:rsid w:val="007A3BAD"/>
    <w:rsid w:val="007C2943"/>
    <w:rsid w:val="007C34A3"/>
    <w:rsid w:val="007C46B4"/>
    <w:rsid w:val="007C47B2"/>
    <w:rsid w:val="007C5A91"/>
    <w:rsid w:val="007D0E7D"/>
    <w:rsid w:val="007E6705"/>
    <w:rsid w:val="00810F24"/>
    <w:rsid w:val="00810F67"/>
    <w:rsid w:val="00812CE1"/>
    <w:rsid w:val="00825D5E"/>
    <w:rsid w:val="00832C64"/>
    <w:rsid w:val="00854FD5"/>
    <w:rsid w:val="008613A4"/>
    <w:rsid w:val="008626FB"/>
    <w:rsid w:val="00866518"/>
    <w:rsid w:val="00870888"/>
    <w:rsid w:val="00876064"/>
    <w:rsid w:val="0088049E"/>
    <w:rsid w:val="00883717"/>
    <w:rsid w:val="00885FCD"/>
    <w:rsid w:val="008965CD"/>
    <w:rsid w:val="008B263D"/>
    <w:rsid w:val="008C0B5A"/>
    <w:rsid w:val="008D3679"/>
    <w:rsid w:val="008E443F"/>
    <w:rsid w:val="00912CB3"/>
    <w:rsid w:val="009174B1"/>
    <w:rsid w:val="009320FA"/>
    <w:rsid w:val="009470EF"/>
    <w:rsid w:val="009609E4"/>
    <w:rsid w:val="00966CB2"/>
    <w:rsid w:val="009A0EB3"/>
    <w:rsid w:val="009A3861"/>
    <w:rsid w:val="009C1DF5"/>
    <w:rsid w:val="009C4230"/>
    <w:rsid w:val="009C69AC"/>
    <w:rsid w:val="009C7655"/>
    <w:rsid w:val="009D38AE"/>
    <w:rsid w:val="009D53F7"/>
    <w:rsid w:val="009D7B41"/>
    <w:rsid w:val="00A01696"/>
    <w:rsid w:val="00A13805"/>
    <w:rsid w:val="00A1638F"/>
    <w:rsid w:val="00A26382"/>
    <w:rsid w:val="00A52F6C"/>
    <w:rsid w:val="00A54862"/>
    <w:rsid w:val="00A6577E"/>
    <w:rsid w:val="00A74C5D"/>
    <w:rsid w:val="00A956BB"/>
    <w:rsid w:val="00AA43D4"/>
    <w:rsid w:val="00AC0679"/>
    <w:rsid w:val="00AC27C9"/>
    <w:rsid w:val="00AC7A98"/>
    <w:rsid w:val="00AD459A"/>
    <w:rsid w:val="00AF49A2"/>
    <w:rsid w:val="00AF614E"/>
    <w:rsid w:val="00B0730C"/>
    <w:rsid w:val="00B209AC"/>
    <w:rsid w:val="00B22C41"/>
    <w:rsid w:val="00B539C3"/>
    <w:rsid w:val="00B55690"/>
    <w:rsid w:val="00B5745E"/>
    <w:rsid w:val="00B63F7E"/>
    <w:rsid w:val="00BA36F9"/>
    <w:rsid w:val="00BB0D17"/>
    <w:rsid w:val="00BC3964"/>
    <w:rsid w:val="00BD2FC5"/>
    <w:rsid w:val="00BE3364"/>
    <w:rsid w:val="00BE528D"/>
    <w:rsid w:val="00BE7900"/>
    <w:rsid w:val="00BF29AB"/>
    <w:rsid w:val="00C018F9"/>
    <w:rsid w:val="00C061CF"/>
    <w:rsid w:val="00C105C4"/>
    <w:rsid w:val="00C13E4D"/>
    <w:rsid w:val="00C352E1"/>
    <w:rsid w:val="00C469CD"/>
    <w:rsid w:val="00C56CF4"/>
    <w:rsid w:val="00C704B8"/>
    <w:rsid w:val="00C72103"/>
    <w:rsid w:val="00C83890"/>
    <w:rsid w:val="00C868EB"/>
    <w:rsid w:val="00C915E7"/>
    <w:rsid w:val="00CC2ADE"/>
    <w:rsid w:val="00CD0C86"/>
    <w:rsid w:val="00CD0F47"/>
    <w:rsid w:val="00CD7838"/>
    <w:rsid w:val="00CE53BB"/>
    <w:rsid w:val="00CF53C8"/>
    <w:rsid w:val="00CF5F1A"/>
    <w:rsid w:val="00D17951"/>
    <w:rsid w:val="00D204AA"/>
    <w:rsid w:val="00D3023A"/>
    <w:rsid w:val="00D3207C"/>
    <w:rsid w:val="00D32F64"/>
    <w:rsid w:val="00D47854"/>
    <w:rsid w:val="00D62737"/>
    <w:rsid w:val="00D746B8"/>
    <w:rsid w:val="00D91885"/>
    <w:rsid w:val="00D97930"/>
    <w:rsid w:val="00DA2E41"/>
    <w:rsid w:val="00DA721C"/>
    <w:rsid w:val="00DC183F"/>
    <w:rsid w:val="00DD46A1"/>
    <w:rsid w:val="00DD55CC"/>
    <w:rsid w:val="00DF08B5"/>
    <w:rsid w:val="00DF4557"/>
    <w:rsid w:val="00DF47AA"/>
    <w:rsid w:val="00E0112F"/>
    <w:rsid w:val="00E02AF1"/>
    <w:rsid w:val="00E241AF"/>
    <w:rsid w:val="00E35AC8"/>
    <w:rsid w:val="00E37E3B"/>
    <w:rsid w:val="00E41EDE"/>
    <w:rsid w:val="00E44E31"/>
    <w:rsid w:val="00E53DAF"/>
    <w:rsid w:val="00E5489C"/>
    <w:rsid w:val="00E67D26"/>
    <w:rsid w:val="00EA69B5"/>
    <w:rsid w:val="00EA7018"/>
    <w:rsid w:val="00EA74A6"/>
    <w:rsid w:val="00EB4621"/>
    <w:rsid w:val="00F0747A"/>
    <w:rsid w:val="00F206E5"/>
    <w:rsid w:val="00F23CB0"/>
    <w:rsid w:val="00F3707D"/>
    <w:rsid w:val="00F428BF"/>
    <w:rsid w:val="00F473BD"/>
    <w:rsid w:val="00F519EF"/>
    <w:rsid w:val="00F62E29"/>
    <w:rsid w:val="00F65282"/>
    <w:rsid w:val="00F974CF"/>
    <w:rsid w:val="00FA3A07"/>
    <w:rsid w:val="00FC1A3D"/>
    <w:rsid w:val="00FC3D12"/>
    <w:rsid w:val="00FE48E1"/>
    <w:rsid w:val="5C966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2532</Words>
  <Characters>3080</Characters>
  <Lines>22</Lines>
  <Paragraphs>6</Paragraphs>
  <TotalTime>12</TotalTime>
  <ScaleCrop>false</ScaleCrop>
  <LinksUpToDate>false</LinksUpToDate>
  <CharactersWithSpaces>3128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2025-09-04T02:02:00Z</dcterms:created>
  <dc:creator>FU FU</dc:creator>
  <cp:lastModifiedBy>2025201180104</cp:lastModifiedBy>
  <dcterms:modified xsi:type="dcterms:W3CDTF">2026-09-02T14:03:10Z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eyJoZGlkIjoiNDRlNzllOWI3OTQ5NWUzZTU3N2NlNzVjODQzYmY4MzIiLCJ1c2VySWQiOiIxNzIwOTQyNjU3In0=</vt:lpwstr>
  </property>
  <property fmtid="{D5CDD505-2E9C-101B-9397-08002B2CF9AE}" pid="3" name="KSOProductBuildVer">
    <vt:lpwstr>2052-12.1.0.28505</vt:lpwstr>
  </property>
  <property fmtid="{D5CDD505-2E9C-101B-9397-08002B2CF9AE}" pid="4" name="ICV">
    <vt:lpwstr>9060A80CD8A94C688812455A3643DB65_12</vt:lpwstr>
  </property>
</Properties>
</file>