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中文垃圾邮件分类</w:t>
      </w:r>
    </w:p>
    <w:p>
      <w:pPr>
        <w:pStyle w:val="Subtitle"/>
      </w:pPr>
      <w:r>
        <w:t>基于 TREC06C、jieba 与 TF-IDF 的朴素贝叶斯和逻辑回归比较</w:t>
      </w:r>
    </w:p>
    <w:p>
      <w:pPr>
        <w:pStyle w:val="Caption"/>
      </w:pPr>
      <w:r>
        <w:t>《Python 数据分析编程》小组项目 · 第六题</w:t>
        <w:br/>
        <w:t>证据基线：cd8e106；续作草稿日期：2026 年 10 月 22 日</w:t>
      </w:r>
    </w:p>
    <w:p>
      <w:pPr>
        <w:pStyle w:val="Heading1"/>
      </w:pPr>
      <w:r>
        <w:t>摘要</w:t>
      </w:r>
    </w:p>
    <w:p>
      <w:r>
        <w:t>本项目以课程提供的 TREC 2006 中文邮件为对象，研究原始邮件解析、内容清洗、去重划分和文本分类。主索引包含 64,620 封邮件。清洗后全部技术可用，去除重复后保留 33,988 封代表，并冻结训练、验证和测试集合。特征采用 jieba 分词与仅在训练侧拟合的 50,000 维 TF-IDF；比较多数类、MultinomialNB 和 LogisticRegression。现有真实验证实验中，LR C=2 的准确率为 98.86%，macro-F1 为 98.78%，正常邮件误报 11 封、垃圾邮件漏报 47 封。该结果支持它进入后续清洗对照，不代表最终测试效果。</w:t>
      </w:r>
    </w:p>
    <w:p>
      <w:r>
        <w:t>关键词：中文垃圾邮件；邮件解析；TF-IDF；朴素贝叶斯；逻辑回归</w:t>
      </w:r>
    </w:p>
    <w:p>
      <w:r>
        <w:t>材料状态：原教师 Word 模板、成员信息及真实实验私有输入尚未取得。本稿先提供可核对的内容与可编辑排版；第七步实测、第八步最终测试与人工错分结论未完成，不能直接作为课程终稿提交。</w:t>
      </w:r>
    </w:p>
    <w:p>
      <w:pPr>
        <w:pStyle w:val="Heading1"/>
      </w:pPr>
      <w:r>
        <w:t>1 引言</w:t>
      </w:r>
    </w:p>
    <w:p>
      <w:r>
        <w:t>垃圾邮件识别是一个二分类问题。本项目以 spam=1、ham=0 编码标签，主输入为邮件主题与正文。误报是把正常邮件判为垃圾邮件，可能导致重要通知被拦截；漏报是把垃圾邮件当作正常邮件，影响过滤效果。因此除准确率外，同时报告垃圾邮件精确率、召回率、两类 F1、macro-F1 和正常邮件误报率。</w:t>
      </w:r>
    </w:p>
    <w:p>
      <w:r>
        <w:t>工作目标包括可靠解析不同编码与 MIME 结构、公平比较两种模型，以及解释清洗和错误类型。采用小规模验证调参，保留最终测试集用于锁定方案后的评估。来源、版本、划分和验收记录随代码保存，使成绩能追溯到实际数据处理过程。</w:t>
      </w:r>
    </w:p>
    <w:p>
      <w:pPr>
        <w:pStyle w:val="Heading1"/>
      </w:pPr>
      <w:r>
        <w:t>2 数据介绍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2232"/>
        <w:gridCol w:w="2232"/>
        <w:gridCol w:w="2232"/>
      </w:tblGrid>
      <w:tr>
        <w:trPr>
          <w:tblHeader/>
          <w:cantSplit/>
        </w:trPr>
        <w:tc>
          <w:tcPr>
            <w:tcW w:type="dxa" w:w="3168"/>
            <w:vAlign w:val="center"/>
            <w:shd w:fill="243E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b/>
                <w:color w:val="FFFFFF"/>
                <w:sz w:val="20"/>
              </w:rPr>
              <w:t>范围</w:t>
            </w:r>
          </w:p>
        </w:tc>
        <w:tc>
          <w:tcPr>
            <w:tcW w:type="dxa" w:w="2232"/>
            <w:vAlign w:val="center"/>
            <w:shd w:fill="243E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正常邮件</w:t>
            </w:r>
          </w:p>
        </w:tc>
        <w:tc>
          <w:tcPr>
            <w:tcW w:type="dxa" w:w="2232"/>
            <w:vAlign w:val="center"/>
            <w:shd w:fill="243E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垃圾邮件</w:t>
            </w:r>
          </w:p>
        </w:tc>
        <w:tc>
          <w:tcPr>
            <w:tcW w:type="dxa" w:w="2232"/>
            <w:vAlign w:val="center"/>
            <w:shd w:fill="243E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合计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b w:val="0"/>
                <w:color w:val="000000"/>
                <w:sz w:val="20"/>
              </w:rPr>
              <w:t>原始主索引</w:t>
            </w:r>
          </w:p>
        </w:tc>
        <w:tc>
          <w:tcPr>
            <w:tcW w:type="dxa" w:w="2232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21,766</w:t>
            </w:r>
          </w:p>
        </w:tc>
        <w:tc>
          <w:tcPr>
            <w:tcW w:type="dxa" w:w="2232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42,854</w:t>
            </w:r>
          </w:p>
        </w:tc>
        <w:tc>
          <w:tcPr>
            <w:tcW w:type="dxa" w:w="2232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64,620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b w:val="0"/>
                <w:color w:val="000000"/>
                <w:sz w:val="20"/>
              </w:rPr>
              <w:t>清洗后技术可用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21,766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42,854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64,620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after="0" w:line="280" w:lineRule="exact"/>
              <w:jc w:val="left"/>
            </w:pPr>
            <w:r>
              <w:rPr>
                <w:b w:val="0"/>
                <w:color w:val="000000"/>
                <w:sz w:val="20"/>
              </w:rPr>
              <w:t>去重保留代表</w:t>
            </w:r>
          </w:p>
        </w:tc>
        <w:tc>
          <w:tcPr>
            <w:tcW w:type="dxa" w:w="2232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21,411</w:t>
            </w:r>
          </w:p>
        </w:tc>
        <w:tc>
          <w:tcPr>
            <w:tcW w:type="dxa" w:w="2232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12,577</w:t>
            </w:r>
          </w:p>
        </w:tc>
        <w:tc>
          <w:tcPr>
            <w:tcW w:type="dxa" w:w="2232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33,988</w:t>
            </w:r>
          </w:p>
        </w:tc>
      </w:tr>
    </w:tbl>
    <w:p>
      <w:pPr>
        <w:spacing w:after="20"/>
      </w:pPr>
    </w:p>
    <w:p>
      <w:r>
        <w:t>数据入口固定为 trec06c/full/index，每行提供标签和相对路径。delay/index 与主索引涉及相同邮件，不能视为新增数据或独立测试集。原始文件约 132.26 MiB，采用全量处理。开发集预先固定 ham、spam 各 200 封，仅用于调试解析器，不代表自然类别比例。</w:t>
      </w:r>
    </w:p>
    <w:p>
      <w:pPr>
        <w:pStyle w:val="Heading1"/>
      </w:pPr>
      <w:r>
        <w:t>3 清洗与预处理</w:t>
      </w:r>
    </w:p>
    <w:p>
      <w:pPr>
        <w:pStyle w:val="Heading2"/>
      </w:pPr>
      <w:r>
        <w:t>3.1 编码、MIME 与 HTML</w:t>
      </w:r>
    </w:p>
    <w:p>
      <w:r>
        <w:t>首先以二进制读取邮件并解析头部和 MIME 结构，先解 base64 或 quoted-printable 传输编码，再按声明字符集和明确候选回退解码。对 multipart/alternative 选取有效表示，避免把纯文本与 HTML 的相同内容重复拼接；对 related 保留根内容，跳过二进制附件和转发的整封子邮件。损坏边界、回退动作及质量警告均单独记录。</w:t>
      </w:r>
    </w:p>
    <w:p>
      <w:r>
        <w:t>HTML 处理移除 script/style，解码实体并保留可读文本与锚文本；之后进行 Unicode NFKC、英文小写、控制字符清理、空白合并和常见联系字段归一化。主题与正文分别保留后组合。只有主题可用时仍保留样本；不可用样本应进入隔离账目。常见电话号码掩码不能等同于全面匿名化。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1800"/>
        <w:gridCol w:w="4752"/>
      </w:tblGrid>
      <w:tr>
        <w:trPr>
          <w:tblHeader/>
          <w:cantSplit/>
        </w:trPr>
        <w:tc>
          <w:tcPr>
            <w:tcW w:type="dxa" w:w="3312"/>
            <w:vAlign w:val="center"/>
            <w:shd w:fill="243E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b/>
                <w:color w:val="FFFFFF"/>
                <w:sz w:val="20"/>
              </w:rPr>
              <w:t>互斥解析状态</w:t>
            </w:r>
          </w:p>
        </w:tc>
        <w:tc>
          <w:tcPr>
            <w:tcW w:type="dxa" w:w="1800"/>
            <w:vAlign w:val="center"/>
            <w:shd w:fill="243E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邮件数</w:t>
            </w:r>
          </w:p>
        </w:tc>
        <w:tc>
          <w:tcPr>
            <w:tcW w:type="dxa" w:w="4752"/>
            <w:vAlign w:val="center"/>
            <w:shd w:fill="243E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解释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b w:val="0"/>
                <w:color w:val="000000"/>
                <w:sz w:val="20"/>
              </w:rPr>
              <w:t>ok</w:t>
            </w:r>
          </w:p>
        </w:tc>
        <w:tc>
          <w:tcPr>
            <w:tcW w:type="dxa" w:w="180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29,891</w:t>
            </w:r>
          </w:p>
        </w:tc>
        <w:tc>
          <w:tcPr>
            <w:tcW w:type="dxa" w:w="4752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常规处理可用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b w:val="0"/>
                <w:color w:val="000000"/>
                <w:sz w:val="20"/>
              </w:rPr>
              <w:t>recovered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33,307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记录回退后可用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b w:val="0"/>
                <w:color w:val="000000"/>
                <w:sz w:val="20"/>
              </w:rPr>
              <w:t>subject_only</w:t>
            </w:r>
          </w:p>
        </w:tc>
        <w:tc>
          <w:tcPr>
            <w:tcW w:type="dxa" w:w="180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1,422</w:t>
            </w:r>
          </w:p>
        </w:tc>
        <w:tc>
          <w:tcPr>
            <w:tcW w:type="dxa" w:w="4752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仅主题可用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after="0" w:line="280" w:lineRule="exact"/>
              <w:jc w:val="left"/>
            </w:pPr>
            <w:r>
              <w:rPr>
                <w:b w:val="0"/>
                <w:color w:val="000000"/>
                <w:sz w:val="20"/>
              </w:rPr>
              <w:t>隔离或错误</w:t>
            </w:r>
          </w:p>
        </w:tc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本批技术处理结果</w:t>
            </w:r>
          </w:p>
        </w:tc>
      </w:tr>
    </w:tbl>
    <w:p>
      <w:pPr>
        <w:spacing w:after="20"/>
      </w:pPr>
    </w:p>
    <w:p>
      <w:pPr>
        <w:pStyle w:val="Caption"/>
      </w:pPr>
      <w:r>
        <w:t>技术可用不等于语义完全正确。没有替换符也无法证明没有乱码，编码质量仍需结合原文复核。公开清洗示例为人工构造的机制说明，真实正文、解码文本和保留标签的对照文本只保存在本地。</w:t>
      </w:r>
    </w:p>
    <w:p>
      <w:pPr>
        <w:pStyle w:val="Heading2"/>
      </w:pPr>
      <w:r>
        <w:t>3.2 内容去重与冻结划分</w:t>
      </w:r>
    </w:p>
    <w:p>
      <w:r>
        <w:t>对同标签且规范化主题与正文完全相同的邮件保留一个确定代表，共移除 30,632 封重复记录。相同原始字节、最终文本、有效正文或 HTML 对照文本建立关联分组，整组划分，防止精确内容跨集合。解析器开发样本触及的 372 个分组、1,738 封代表固定到训练侧。种子为 42，目标比例为 70%/15%/15%。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2232"/>
        <w:gridCol w:w="2232"/>
        <w:gridCol w:w="2232"/>
      </w:tblGrid>
      <w:tr>
        <w:trPr>
          <w:tblHeader/>
          <w:cantSplit/>
        </w:trPr>
        <w:tc>
          <w:tcPr>
            <w:tcW w:type="dxa" w:w="3168"/>
            <w:vAlign w:val="center"/>
            <w:shd w:fill="243E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b/>
                <w:color w:val="FFFFFF"/>
                <w:sz w:val="20"/>
              </w:rPr>
              <w:t>集合</w:t>
            </w:r>
          </w:p>
        </w:tc>
        <w:tc>
          <w:tcPr>
            <w:tcW w:type="dxa" w:w="2232"/>
            <w:vAlign w:val="center"/>
            <w:shd w:fill="243E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正常邮件</w:t>
            </w:r>
          </w:p>
        </w:tc>
        <w:tc>
          <w:tcPr>
            <w:tcW w:type="dxa" w:w="2232"/>
            <w:vAlign w:val="center"/>
            <w:shd w:fill="243E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垃圾邮件</w:t>
            </w:r>
          </w:p>
        </w:tc>
        <w:tc>
          <w:tcPr>
            <w:tcW w:type="dxa" w:w="2232"/>
            <w:vAlign w:val="center"/>
            <w:shd w:fill="243E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合计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b w:val="0"/>
                <w:color w:val="000000"/>
                <w:sz w:val="20"/>
              </w:rPr>
              <w:t>训练</w:t>
            </w:r>
          </w:p>
        </w:tc>
        <w:tc>
          <w:tcPr>
            <w:tcW w:type="dxa" w:w="2232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14,988</w:t>
            </w:r>
          </w:p>
        </w:tc>
        <w:tc>
          <w:tcPr>
            <w:tcW w:type="dxa" w:w="2232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8,804</w:t>
            </w:r>
          </w:p>
        </w:tc>
        <w:tc>
          <w:tcPr>
            <w:tcW w:type="dxa" w:w="2232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23,792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b w:val="0"/>
                <w:color w:val="000000"/>
                <w:sz w:val="20"/>
              </w:rPr>
              <w:t>验证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3,212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1,887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5,099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after="0" w:line="280" w:lineRule="exact"/>
              <w:jc w:val="left"/>
            </w:pPr>
            <w:r>
              <w:rPr>
                <w:b w:val="0"/>
                <w:color w:val="000000"/>
                <w:sz w:val="20"/>
              </w:rPr>
              <w:t>测试</w:t>
            </w:r>
          </w:p>
        </w:tc>
        <w:tc>
          <w:tcPr>
            <w:tcW w:type="dxa" w:w="2232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3,211</w:t>
            </w:r>
          </w:p>
        </w:tc>
        <w:tc>
          <w:tcPr>
            <w:tcW w:type="dxa" w:w="2232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1,886</w:t>
            </w:r>
          </w:p>
        </w:tc>
        <w:tc>
          <w:tcPr>
            <w:tcW w:type="dxa" w:w="2232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5,097</w:t>
            </w:r>
          </w:p>
        </w:tc>
      </w:tr>
    </w:tbl>
    <w:p>
      <w:pPr>
        <w:spacing w:after="20"/>
      </w:pPr>
    </w:p>
    <w:p>
      <w:pPr>
        <w:pStyle w:val="Heading1"/>
      </w:pPr>
      <w:r>
        <w:t>4 探索分析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30846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05_category_cou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84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类别规模与去重保留率。来源：既有第五阶段真实聚合产物。</w:t>
      </w:r>
    </w:p>
    <w:p>
      <w:r>
        <w:t>垃圾邮件占比由原始约 66.32% 降为保留代表中的 37.00%；ham 保留率约 98.37%，spam 约 29.35%。这反映语料中垃圾邮件的精确重复更多，不能解释为清洗随机丢弃了垃圾邮件。评估对象因此是不同规范化文本，不能直接外推自然收件箱的邮件流比例。</w:t>
      </w:r>
    </w:p>
    <w:p>
      <w:r>
        <w:t>训练侧正常与垃圾邮件的文本长度中位数分别为 302、499 字符，正文 HTML 率分别约 4.18%、33.88%。这些描述性差异有助于安排质量复核，但不作为读取测试表现后修改特征的依据。</w:t>
      </w:r>
    </w:p>
    <w:p>
      <w:pPr>
        <w:pStyle w:val="Heading2"/>
      </w:pPr>
      <w:r>
        <w:t>4.1 高频词与文本差异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31761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05_training_word_cove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6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 训练侧预设公开词表内的高覆盖词。每封邮件每词最多计一次。</w:t>
      </w:r>
    </w:p>
    <w:p>
      <w:r>
        <w:t>正常邮件中的“工作”“问题”“时间”等词较常见；垃圾邮件中联系字段占位符和“公司”“服务”等词覆盖较高。图中词仅来自预设通用词表，并非完整词表的全局前列；高频也不等于能区分类别，须结合模型系数与实际错分判断。</w:t>
      </w:r>
    </w:p>
    <w:p>
      <w:pPr>
        <w:pStyle w:val="Heading1"/>
      </w:pPr>
      <w:r>
        <w:t>5 特征与模型</w:t>
      </w:r>
    </w:p>
    <w:p>
      <w:r>
        <w:t>jieba 使用精确模式、HMM=False，保留固定规则允许的中文单字、数字及联系字段占位符，使用 57 项固定停用词。TF-IDF 以训练邮件中的词频和文档频率形成向量：重复词的影响使用次线性缩放，常见词降低区分权重，再进行 L2 归一化。词表和 IDF 只在训练集拟合；验证、测试只能转换。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768"/>
      </w:tblGrid>
      <w:tr>
        <w:trPr>
          <w:tblHeader/>
          <w:cantSplit/>
        </w:trPr>
        <w:tc>
          <w:tcPr>
            <w:tcW w:type="dxa" w:w="3096"/>
            <w:vAlign w:val="center"/>
            <w:shd w:fill="243E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6768"/>
            <w:vAlign w:val="center"/>
            <w:shd w:fill="243E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固定配置或候选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b w:val="0"/>
                <w:color w:val="000000"/>
                <w:sz w:val="20"/>
              </w:rPr>
              <w:t>TF-IDF</w:t>
            </w:r>
          </w:p>
        </w:tc>
        <w:tc>
          <w:tcPr>
            <w:tcW w:type="dxa" w:w="676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min_df=2；max_features=50,000；float64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b w:val="0"/>
                <w:color w:val="000000"/>
                <w:sz w:val="20"/>
              </w:rPr>
              <w:t>多数类</w:t>
            </w:r>
          </w:p>
        </w:tc>
        <w:tc>
          <w:tcPr>
            <w:tcW w:type="dxa" w:w="67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由训练集确定多数标签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b w:val="0"/>
                <w:color w:val="000000"/>
                <w:sz w:val="20"/>
              </w:rPr>
              <w:t>MultinomialNB</w:t>
            </w:r>
          </w:p>
        </w:tc>
        <w:tc>
          <w:tcPr>
            <w:tcW w:type="dxa" w:w="676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alpha=0.1、0.5、1.0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b w:val="0"/>
                <w:color w:val="000000"/>
                <w:sz w:val="20"/>
              </w:rPr>
              <w:t>LogisticRegression</w:t>
            </w:r>
          </w:p>
        </w:tc>
        <w:tc>
          <w:tcPr>
            <w:tcW w:type="dxa" w:w="67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C=0.5、1、2；检查收敛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after="0" w:line="280" w:lineRule="exact"/>
              <w:jc w:val="left"/>
            </w:pPr>
            <w:r>
              <w:rPr>
                <w:b w:val="0"/>
                <w:color w:val="000000"/>
                <w:sz w:val="20"/>
              </w:rPr>
              <w:t>选择顺序</w:t>
            </w:r>
          </w:p>
        </w:tc>
        <w:tc>
          <w:tcPr>
            <w:tcW w:type="dxa" w:w="676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macro-F1 → 低误报率 → 高 spam 召回率</w:t>
            </w:r>
          </w:p>
        </w:tc>
      </w:tr>
    </w:tbl>
    <w:p>
      <w:pPr>
        <w:spacing w:after="20"/>
      </w:pPr>
    </w:p>
    <w:p>
      <w:r>
        <w:t>NB 用平滑后的词分布进行分类，结构简单，适合稀疏文本基线；LR 联合学习每个词的线性权重，并用正则化约束模型。两者共用冻结划分和特征规则。样本 ID、标签、路径、路由头及现成垃圾评分均不作为特征。</w:t>
      </w:r>
    </w:p>
    <w:p>
      <w:pPr>
        <w:pStyle w:val="Heading1"/>
      </w:pPr>
      <w:r>
        <w:t>6 评估与可视化</w:t>
      </w:r>
    </w:p>
    <w:p>
      <w:pPr>
        <w:pStyle w:val="Heading2"/>
      </w:pPr>
      <w:r>
        <w:t>6.1 现有真实验证结果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483"/>
        <w:gridCol w:w="1757"/>
        <w:gridCol w:w="1757"/>
        <w:gridCol w:w="1584"/>
        <w:gridCol w:w="1483"/>
      </w:tblGrid>
      <w:tr>
        <w:trPr>
          <w:tblHeader/>
          <w:cantSplit/>
        </w:trPr>
        <w:tc>
          <w:tcPr>
            <w:tcW w:type="dxa" w:w="1800"/>
            <w:vAlign w:val="center"/>
            <w:shd w:fill="243E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1483"/>
            <w:vAlign w:val="center"/>
            <w:shd w:fill="243E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准确率</w:t>
            </w:r>
          </w:p>
        </w:tc>
        <w:tc>
          <w:tcPr>
            <w:tcW w:type="dxa" w:w="1757"/>
            <w:vAlign w:val="center"/>
            <w:shd w:fill="243E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spam 精确率</w:t>
            </w:r>
          </w:p>
        </w:tc>
        <w:tc>
          <w:tcPr>
            <w:tcW w:type="dxa" w:w="1757"/>
            <w:vAlign w:val="center"/>
            <w:shd w:fill="243E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spam 召回率</w:t>
            </w:r>
          </w:p>
        </w:tc>
        <w:tc>
          <w:tcPr>
            <w:tcW w:type="dxa" w:w="1584"/>
            <w:vAlign w:val="center"/>
            <w:shd w:fill="243E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macro-F1</w:t>
            </w:r>
          </w:p>
        </w:tc>
        <w:tc>
          <w:tcPr>
            <w:tcW w:type="dxa" w:w="1483"/>
            <w:vAlign w:val="center"/>
            <w:shd w:fill="243E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误报率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b w:val="0"/>
                <w:color w:val="000000"/>
                <w:sz w:val="20"/>
              </w:rPr>
              <w:t>多数类</w:t>
            </w:r>
          </w:p>
        </w:tc>
        <w:tc>
          <w:tcPr>
            <w:tcW w:type="dxa" w:w="1483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62.99%</w:t>
            </w:r>
          </w:p>
        </w:tc>
        <w:tc>
          <w:tcPr>
            <w:tcW w:type="dxa" w:w="175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0.00%</w:t>
            </w:r>
          </w:p>
        </w:tc>
        <w:tc>
          <w:tcPr>
            <w:tcW w:type="dxa" w:w="175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0.00%</w:t>
            </w:r>
          </w:p>
        </w:tc>
        <w:tc>
          <w:tcPr>
            <w:tcW w:type="dxa" w:w="158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38.65%</w:t>
            </w:r>
          </w:p>
        </w:tc>
        <w:tc>
          <w:tcPr>
            <w:tcW w:type="dxa" w:w="1483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0.00%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b w:val="0"/>
                <w:color w:val="000000"/>
                <w:sz w:val="20"/>
              </w:rPr>
              <w:t>NB α=1</w:t>
            </w:r>
          </w:p>
        </w:tc>
        <w:tc>
          <w:tcPr>
            <w:tcW w:type="dxa" w:w="14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95.25%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92.95%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94.33%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94.93%</w:t>
            </w:r>
          </w:p>
        </w:tc>
        <w:tc>
          <w:tcPr>
            <w:tcW w:type="dxa" w:w="14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4.20%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b w:val="0"/>
                <w:color w:val="000000"/>
                <w:sz w:val="20"/>
              </w:rPr>
              <w:t>LR C=1</w:t>
            </w:r>
          </w:p>
        </w:tc>
        <w:tc>
          <w:tcPr>
            <w:tcW w:type="dxa" w:w="1483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98.53%</w:t>
            </w:r>
          </w:p>
        </w:tc>
        <w:tc>
          <w:tcPr>
            <w:tcW w:type="dxa" w:w="175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99.08%</w:t>
            </w:r>
          </w:p>
        </w:tc>
        <w:tc>
          <w:tcPr>
            <w:tcW w:type="dxa" w:w="175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96.93%</w:t>
            </w:r>
          </w:p>
        </w:tc>
        <w:tc>
          <w:tcPr>
            <w:tcW w:type="dxa" w:w="158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98.42%</w:t>
            </w:r>
          </w:p>
        </w:tc>
        <w:tc>
          <w:tcPr>
            <w:tcW w:type="dxa" w:w="1483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0.53%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b w:val="0"/>
                <w:color w:val="000000"/>
                <w:sz w:val="20"/>
              </w:rPr>
              <w:t>NB α=0.1</w:t>
            </w:r>
          </w:p>
        </w:tc>
        <w:tc>
          <w:tcPr>
            <w:tcW w:type="dxa" w:w="14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95.88%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93.47%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95.55%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95.60%</w:t>
            </w:r>
          </w:p>
        </w:tc>
        <w:tc>
          <w:tcPr>
            <w:tcW w:type="dxa" w:w="14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3.92%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b w:val="0"/>
                <w:color w:val="000000"/>
                <w:sz w:val="20"/>
              </w:rPr>
              <w:t>NB α=0.5</w:t>
            </w:r>
          </w:p>
        </w:tc>
        <w:tc>
          <w:tcPr>
            <w:tcW w:type="dxa" w:w="1483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95.55%</w:t>
            </w:r>
          </w:p>
        </w:tc>
        <w:tc>
          <w:tcPr>
            <w:tcW w:type="dxa" w:w="175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93.01%</w:t>
            </w:r>
          </w:p>
        </w:tc>
        <w:tc>
          <w:tcPr>
            <w:tcW w:type="dxa" w:w="175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95.12%</w:t>
            </w:r>
          </w:p>
        </w:tc>
        <w:tc>
          <w:tcPr>
            <w:tcW w:type="dxa" w:w="158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95.25%</w:t>
            </w:r>
          </w:p>
        </w:tc>
        <w:tc>
          <w:tcPr>
            <w:tcW w:type="dxa" w:w="1483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4.20%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b w:val="0"/>
                <w:color w:val="000000"/>
                <w:sz w:val="20"/>
              </w:rPr>
              <w:t>LR C=0.5</w:t>
            </w:r>
          </w:p>
        </w:tc>
        <w:tc>
          <w:tcPr>
            <w:tcW w:type="dxa" w:w="14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98.14%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98.70%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96.24%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97.99%</w:t>
            </w:r>
          </w:p>
        </w:tc>
        <w:tc>
          <w:tcPr>
            <w:tcW w:type="dxa" w:w="14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0.75%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after="0" w:line="280" w:lineRule="exact"/>
              <w:jc w:val="left"/>
            </w:pPr>
            <w:r>
              <w:rPr>
                <w:b w:val="0"/>
                <w:color w:val="000000"/>
                <w:sz w:val="20"/>
              </w:rPr>
              <w:t>LR C=2</w:t>
            </w:r>
          </w:p>
        </w:tc>
        <w:tc>
          <w:tcPr>
            <w:tcW w:type="dxa" w:w="1483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98.86%</w:t>
            </w:r>
          </w:p>
        </w:tc>
        <w:tc>
          <w:tcPr>
            <w:tcW w:type="dxa" w:w="175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99.41%</w:t>
            </w:r>
          </w:p>
        </w:tc>
        <w:tc>
          <w:tcPr>
            <w:tcW w:type="dxa" w:w="175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97.51%</w:t>
            </w:r>
          </w:p>
        </w:tc>
        <w:tc>
          <w:tcPr>
            <w:tcW w:type="dxa" w:w="158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98.78%</w:t>
            </w:r>
          </w:p>
        </w:tc>
        <w:tc>
          <w:tcPr>
            <w:tcW w:type="dxa" w:w="1483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0.34%</w:t>
            </w:r>
          </w:p>
        </w:tc>
      </w:tr>
    </w:tbl>
    <w:p>
      <w:pPr>
        <w:spacing w:after="20"/>
      </w:pPr>
    </w:p>
    <w:p>
      <w:r>
        <w:t>表中全部为 5,099 封验证邮件的结果。来源：artifacts/metrics/stage06_validation.csv；不是本轮重新运行的真实语料实验。macro-F1 平均两类 F1，可避免只关注样本较多的正常邮件。多数类虽达到 62.99% 准确率，却漏掉全部 1,887 封垃圾邮件。</w:t>
      </w:r>
    </w:p>
    <w:p>
      <w:pPr>
        <w:pStyle w:val="Heading2"/>
      </w:pPr>
      <w:r>
        <w:t>6.2 最优参数下的验证混淆计数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1728"/>
        <w:gridCol w:w="1728"/>
        <w:gridCol w:w="1728"/>
        <w:gridCol w:w="1728"/>
      </w:tblGrid>
      <w:tr>
        <w:trPr>
          <w:tblHeader/>
          <w:cantSplit/>
        </w:trPr>
        <w:tc>
          <w:tcPr>
            <w:tcW w:type="dxa" w:w="2952"/>
            <w:vAlign w:val="center"/>
            <w:shd w:fill="243E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1728"/>
            <w:vAlign w:val="center"/>
            <w:shd w:fill="243E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TN</w:t>
            </w:r>
          </w:p>
        </w:tc>
        <w:tc>
          <w:tcPr>
            <w:tcW w:type="dxa" w:w="1728"/>
            <w:vAlign w:val="center"/>
            <w:shd w:fill="243E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FP</w:t>
            </w:r>
          </w:p>
        </w:tc>
        <w:tc>
          <w:tcPr>
            <w:tcW w:type="dxa" w:w="1728"/>
            <w:vAlign w:val="center"/>
            <w:shd w:fill="243E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FN</w:t>
            </w:r>
          </w:p>
        </w:tc>
        <w:tc>
          <w:tcPr>
            <w:tcW w:type="dxa" w:w="1728"/>
            <w:vAlign w:val="center"/>
            <w:shd w:fill="243E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/>
                <w:color w:val="FFFFFF"/>
                <w:sz w:val="20"/>
              </w:rPr>
              <w:t>TP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left"/>
            </w:pPr>
            <w:r>
              <w:rPr>
                <w:b w:val="0"/>
                <w:color w:val="000000"/>
                <w:sz w:val="20"/>
              </w:rPr>
              <w:t>NB α=0.1</w:t>
            </w:r>
          </w:p>
        </w:tc>
        <w:tc>
          <w:tcPr>
            <w:tcW w:type="dxa" w:w="172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3086</w:t>
            </w:r>
          </w:p>
        </w:tc>
        <w:tc>
          <w:tcPr>
            <w:tcW w:type="dxa" w:w="172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126</w:t>
            </w:r>
          </w:p>
        </w:tc>
        <w:tc>
          <w:tcPr>
            <w:tcW w:type="dxa" w:w="172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84</w:t>
            </w:r>
          </w:p>
        </w:tc>
        <w:tc>
          <w:tcPr>
            <w:tcW w:type="dxa" w:w="172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1803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after="0" w:line="280" w:lineRule="exact"/>
              <w:jc w:val="left"/>
            </w:pPr>
            <w:r>
              <w:rPr>
                <w:b w:val="0"/>
                <w:color w:val="000000"/>
                <w:sz w:val="20"/>
              </w:rPr>
              <w:t>LR C=2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3201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47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5" w:type="dxa"/>
              <w:right w:w="105" w:type="dxa"/>
            </w:tcMar>
          </w:tcPr>
          <w:p>
            <w:pPr>
              <w:keepNext w:val="0"/>
              <w:spacing w:after="0" w:line="280" w:lineRule="exact"/>
              <w:jc w:val="center"/>
            </w:pPr>
            <w:r>
              <w:rPr>
                <w:b w:val="0"/>
                <w:color w:val="000000"/>
                <w:sz w:val="20"/>
              </w:rPr>
              <w:t>1840</w:t>
            </w:r>
          </w:p>
        </w:tc>
      </w:tr>
    </w:tbl>
    <w:p>
      <w:pPr>
        <w:spacing w:after="20"/>
      </w:pPr>
    </w:p>
    <w:p>
      <w:r>
        <w:t>TN 为正确识别正常邮件，FP 为误拦正常邮件，FN 为漏掉垃圾邮件，TP 为正确识别垃圾邮件。LR C=2 相比 NB alpha=0.1，将验证误报从 126 封降至 11 封，漏报从 84 封降至 47 封，macro-F1 高约 3.17 个百分点。因此按预设规则选为下一阶段候选。</w:t>
      </w:r>
    </w:p>
    <w:p>
      <w:r>
        <w:t>这些比较支持当前语料与划分下的候选选择，尚未给出跨语料、时间外推或显著性结论。调参也使用了此验证集，最终泛化能力须由后续锁定方案的测试集评估。</w:t>
      </w:r>
    </w:p>
    <w:p>
      <w:pPr>
        <w:pStyle w:val="Heading2"/>
      </w:pPr>
      <w:r>
        <w:t>6.3 清洗影响与最终评估状态</w:t>
      </w:r>
    </w:p>
    <w:p>
      <w:r>
        <w:t>第七步已实现固定 LR C=2 的去标签与保留 HTML 对照，各自在相同训练 ID 拟合 TF-IDF；去标签臂还必须重现既有第六步预测。真实对照未运行，不能宣称 HTML 清洗提升了准确率。第八步已实现锁定后预测、混淆矩阵、关联词和私有错分候选；真实最终测试未运行。</w:t>
      </w:r>
    </w:p>
    <w:p>
      <w:pPr>
        <w:pStyle w:val="Heading2"/>
      </w:pPr>
      <w:r>
        <w:t>6.4 错误分析方法与待执行内容</w:t>
      </w:r>
    </w:p>
    <w:p>
      <w:r>
        <w:t>最终评估后，NB、LR 各自按固定规则选取最多 15 个 FP 和 15 个 FN；不足则全部保留。候选包含真实正文，只保存在本地，不能上传仓库。人工阅读后应记录短文本、主题与正文不一致、残余编码问题或合法商业通知等实际证据；这些类别目前仅为审核方向，不是已经观察到的错因。</w:t>
      </w:r>
    </w:p>
    <w:p>
      <w:r>
        <w:t>公开结果只写经过复核的安全概述及聚合数量。模型关联词用 LR 正负系数解释，限定在预设公开词表内；它反映条件关联，不是因果关系。全部错误的 HTML、短文本和编码标记计数也只作描述，不能用自动标记取代原文审核。</w:t>
      </w:r>
    </w:p>
    <w:p>
      <w:pPr>
        <w:pStyle w:val="Heading1"/>
      </w:pPr>
      <w:r>
        <w:t>7 总结与结论</w:t>
      </w:r>
    </w:p>
    <w:p>
      <w:r>
        <w:t>当前证据支持三点：第一，邮件解析必须记录编码和结构恢复过程，技术可读不保证语义无误。第二，精确去重显著改变本语料的类别构成，固定内容分组可降低重复泄漏。第三，相同训练特征下，LR C=2 在现有验证集上的 macro-F1 和误报控制均优于本轮 NB 候选，因此值得进入清洗对照。</w:t>
      </w:r>
    </w:p>
    <w:p>
      <w:r>
        <w:t>主要局限包括语料年代较早、仍可能存在近重复模板、类别比例不能代表实际邮件流，以及验证选参带来的乐观偏差。真实清洗对照、最终测试和人工错分审核尚待完成。后续应先恢复原数据与兼容依赖，保持冻结划分和预先声明的选择规则，再完成实测与最终材料。</w:t>
      </w:r>
    </w:p>
    <w:p>
      <w:pPr>
        <w:pStyle w:val="Heading1"/>
      </w:pPr>
      <w:r>
        <w:t>8 分工与个人承担</w:t>
      </w:r>
    </w:p>
    <w:p>
      <w:r>
        <w:t>仓库暂未提供三名成员的姓名、学号、组号、组长及实际承担记录。本稿不将建议职责 A/B/C 当作实际贡献，也不把自动化辅助提交归为某位学生。终稿需由成员按实际完成的代码、复核与讲解填写，并与 GitHub 的真实提交记录对应。</w:t>
      </w:r>
    </w:p>
    <w:p>
      <w:r>
        <w:t>可按“成员信息—负责模块—本人使用的方法—遇到的问题及处理—对应提交—复核人”整理实际工作。本次续作已完成逐文件审阅、第七八步程序和合成检查，按模块分别提交；真实语料复现、登记及线下课程提交没有被代办或确认为完成。</w:t>
      </w:r>
    </w:p>
    <w:p>
      <w:pPr>
        <w:pStyle w:val="Heading1"/>
      </w:pPr>
      <w:r>
        <w:t>9 附录：复现与证据</w:t>
      </w:r>
    </w:p>
    <w:p>
      <w:pPr>
        <w:pStyle w:val="Heading2"/>
      </w:pPr>
      <w:r>
        <w:t>9.1 仓库与运行顺序</w:t>
      </w:r>
    </w:p>
    <w:p>
      <w:r>
        <w:t>仓库：https://github.com/25121596/Python-teamwork</w:t>
        <w:br/>
        <w:t>历史结果基线：cd8e106；用户最初指定的 5864154 是第二阶段历史版本，续作保留其后第三至第六阶段成果。</w:t>
      </w:r>
    </w:p>
    <w:p>
      <w:r>
        <w:t>原实验采用 Windows、Python 3.12，精确依赖见 requirements.txt。先把课程原始语料放在仓库之外，通过 config.local.json 指定路径，依次执行 README 的索引、清洗、划分、EDA/特征和模型训练/独立核验。私有缓存不随 Git 分发，新电脑必须恢复或重新生成，不能仅凭旧成功 JSON 认为复现通过。</w:t>
      </w:r>
    </w:p>
    <w:p>
      <w:r>
        <w:t>第七八步入口依次为 check_readiness.py、compare_cleaning.py、check_ablation.py、evaluate_final.py、check_final_results.py。前一步未通过则停止。第一次最终测试前保存最终锁；测试后不能删除访问记录再调参。</w:t>
      </w:r>
    </w:p>
    <w:p>
      <w:pPr>
        <w:pStyle w:val="Heading2"/>
      </w:pPr>
      <w:r>
        <w:t>9.2 核心代码摘录</w:t>
      </w:r>
    </w:p>
    <w:p>
      <w:r>
        <w:t>以下为 scripts/evaluate_final.py 中的真实控制顺序（节选），用于解释为何先验证锁与验收，再读取测试集合：</w:t>
      </w:r>
    </w:p>
    <w:p>
      <w:pPr>
        <w:spacing w:line="269" w:lineRule="auto"/>
      </w:pPr>
      <w:r>
        <w:rPr>
          <w:rFonts w:ascii="DejaVu Sans Mono" w:hAnsi="DejaVu Sans Mono"/>
          <w:sz w:val="17"/>
        </w:rPr>
        <w:t>lock = verify_lock(root)</w:t>
        <w:br/>
        <w:t>lock_sha = file_sha256(root / "artifacts/metrics/final_lock.json")</w:t>
        <w:br/>
        <w:t>require_ablation_validation(root, lock_sha)</w:t>
        <w:br/>
        <w:t># 省略重复运行检查和测试访问记录写入</w:t>
        <w:br/>
        <w:t>rows = read_test_rows(root, lock)</w:t>
        <w:br/>
        <w:t>records = read_records(root, {"test": rows},</w:t>
        <w:br/>
        <w:t xml:space="preserve">                       lock["cleaning_cache_sha256"])["test"]</w:t>
      </w:r>
    </w:p>
    <w:p>
      <w:pPr>
        <w:pStyle w:val="Heading2"/>
      </w:pPr>
      <w:r>
        <w:t>9.3 数据与资料来源</w:t>
      </w:r>
    </w:p>
    <w:p>
      <w:r>
        <w:t>课程要求与章节映射：项目计划.md；解析/去重/探索证据：artifacts/audit/ 下的 cleaning_summary.json、split_summary.json、eda_summary.json；模型证据：artifacts/metrics/model_selection.json 与 stage06_validation.csv；逐阶段验收：docs/stages/；逐文件用途：docs/仓库文件用途.md。</w:t>
      </w:r>
    </w:p>
    <w:p>
      <w:r>
        <w:t>本报告数值取自上述仓库已有真实产物；合成测试只检验程序逻辑，128 项通过不等于真实实验复现。恢复原 Word 模板后需迁移本文内容、补齐成员与实测结果、更新目录和页码，再完成打印及提交检查。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Python 数据分析编程 · 第六题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中文垃圾邮件分类  |  阶段报告草稿 · 仅含验证集成绩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9" w:lineRule="exact"/>
      <w:widowControl/>
      <w:snapToGrid w:val="0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 w:line="464" w:lineRule="exact"/>
      <w:outlineLvl w:val="0"/>
      <w:snapToGrid w:val="0"/>
    </w:pPr>
    <w:rPr>
      <w:rFonts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 w:line="348" w:lineRule="exact"/>
      <w:outlineLvl w:val="1"/>
      <w:snapToGrid w:val="0"/>
    </w:pPr>
    <w:rPr>
      <w:rFonts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696" w:lineRule="exact"/>
      <w:contextualSpacing/>
      <w:snapToGrid w:val="0"/>
    </w:pPr>
    <w:rPr>
      <w:rFonts w:ascii="Noto Sans CJK SC" w:hAnsi="Noto Sans CJK SC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48" w:lineRule="exact"/>
      <w:snapToGrid w:val="0"/>
    </w:pPr>
    <w:rPr>
      <w:rFonts w:ascii="Noto Sans CJK SC" w:hAnsi="Noto Sans CJK SC" w:eastAsia="Noto Sans CJK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1" w:lineRule="exact" w:after="140"/>
      <w:snapToGrid w:val="0"/>
    </w:pPr>
    <w:rPr>
      <w:rFonts w:ascii="Noto Sans CJK SC" w:hAnsi="Noto Sans CJK SC" w:eastAsia="Noto Sans CJK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