
<file path=[Content_Types].xml><?xml version="1.0" encoding="utf-8"?>
<Types xmlns="http://schemas.openxmlformats.org/package/2006/content-types">
  <Default Extension="xml" ContentType="application/xml"/>
  <Default Extension="wmf" ContentType="image/x-w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5F4D48A">
      <w:pPr>
        <w:pStyle w:val="164"/>
        <w:spacing w:after="280"/>
        <w:jc w:val="center"/>
      </w:pPr>
      <w:r>
        <w:t>3D打印认识实习报告</w:t>
      </w:r>
    </w:p>
    <w:tbl>
      <w:tblPr>
        <w:tblStyle w:val="32"/>
        <w:tblW w:w="0" w:type="auto"/>
        <w:jc w:val="center"/>
        <w:tblLayout w:type="fixed"/>
        <w:tblCellMar>
          <w:top w:w="0" w:type="dxa"/>
          <w:left w:w="108" w:type="dxa"/>
          <w:bottom w:w="0" w:type="dxa"/>
          <w:right w:w="108" w:type="dxa"/>
        </w:tblCellMar>
      </w:tblPr>
      <w:tblGrid>
        <w:gridCol w:w="2351"/>
        <w:gridCol w:w="2351"/>
        <w:gridCol w:w="2351"/>
        <w:gridCol w:w="2351"/>
      </w:tblGrid>
      <w:tr w14:paraId="67EC0A52">
        <w:tblPrEx>
          <w:tblCellMar>
            <w:top w:w="0" w:type="dxa"/>
            <w:left w:w="108" w:type="dxa"/>
            <w:bottom w:w="0" w:type="dxa"/>
            <w:right w:w="108" w:type="dxa"/>
          </w:tblCellMar>
        </w:tblPrEx>
        <w:trPr>
          <w:jc w:val="center"/>
        </w:trPr>
        <w:tc>
          <w:tcPr>
            <w:tcW w:w="1247" w:type="dxa"/>
            <w:tcBorders>
              <w:top w:val="single" w:color="808080" w:sz="6" w:space="0"/>
              <w:left w:val="single" w:color="808080" w:sz="6" w:space="0"/>
              <w:bottom w:val="single" w:color="808080" w:sz="6" w:space="0"/>
              <w:right w:val="single" w:color="808080" w:sz="6" w:space="0"/>
              <w:insideH w:val="single" w:sz="6" w:space="0"/>
              <w:insideV w:val="single" w:sz="6" w:space="0"/>
            </w:tcBorders>
            <w:vAlign w:val="center"/>
          </w:tcPr>
          <w:p w14:paraId="55E686A8">
            <w:pPr>
              <w:spacing w:before="0" w:after="0"/>
              <w:ind w:firstLine="0"/>
              <w:jc w:val="center"/>
            </w:pPr>
            <w:r>
              <w:rPr>
                <w:rFonts w:ascii="宋体" w:hAnsi="宋体" w:eastAsia="宋体"/>
                <w:sz w:val="19"/>
              </w:rPr>
              <w:t>姓名</w:t>
            </w:r>
          </w:p>
        </w:tc>
        <w:tc>
          <w:tcPr>
            <w:tcW w:w="2381" w:type="dxa"/>
            <w:tcBorders>
              <w:top w:val="single" w:color="808080" w:sz="6" w:space="0"/>
              <w:left w:val="single" w:color="808080" w:sz="6" w:space="0"/>
              <w:bottom w:val="single" w:color="808080" w:sz="6" w:space="0"/>
              <w:right w:val="single" w:color="808080" w:sz="6" w:space="0"/>
              <w:insideH w:val="single" w:sz="6" w:space="0"/>
              <w:insideV w:val="single" w:sz="6" w:space="0"/>
            </w:tcBorders>
            <w:vAlign w:val="center"/>
          </w:tcPr>
          <w:p w14:paraId="749DE4D8">
            <w:pPr>
              <w:spacing w:before="0" w:after="0"/>
              <w:ind w:firstLine="0"/>
              <w:jc w:val="center"/>
            </w:pPr>
            <w:r>
              <w:rPr>
                <w:rFonts w:ascii="宋体" w:hAnsi="宋体" w:eastAsia="宋体"/>
                <w:sz w:val="19"/>
              </w:rPr>
              <w:t>赵启涵</w:t>
            </w:r>
          </w:p>
        </w:tc>
        <w:tc>
          <w:tcPr>
            <w:tcW w:w="1247" w:type="dxa"/>
            <w:tcBorders>
              <w:top w:val="single" w:color="808080" w:sz="6" w:space="0"/>
              <w:left w:val="single" w:color="808080" w:sz="6" w:space="0"/>
              <w:bottom w:val="single" w:color="808080" w:sz="6" w:space="0"/>
              <w:right w:val="single" w:color="808080" w:sz="6" w:space="0"/>
              <w:insideH w:val="single" w:sz="6" w:space="0"/>
              <w:insideV w:val="single" w:sz="6" w:space="0"/>
            </w:tcBorders>
            <w:vAlign w:val="center"/>
          </w:tcPr>
          <w:p w14:paraId="45B83093">
            <w:pPr>
              <w:spacing w:before="0" w:after="0"/>
              <w:ind w:firstLine="0"/>
              <w:jc w:val="center"/>
            </w:pPr>
            <w:r>
              <w:rPr>
                <w:rFonts w:ascii="宋体" w:hAnsi="宋体" w:eastAsia="宋体"/>
                <w:sz w:val="19"/>
              </w:rPr>
              <w:t>班级</w:t>
            </w:r>
          </w:p>
        </w:tc>
        <w:tc>
          <w:tcPr>
            <w:tcW w:w="2835" w:type="dxa"/>
            <w:tcBorders>
              <w:top w:val="single" w:color="808080" w:sz="6" w:space="0"/>
              <w:left w:val="single" w:color="808080" w:sz="6" w:space="0"/>
              <w:bottom w:val="single" w:color="808080" w:sz="6" w:space="0"/>
              <w:right w:val="single" w:color="808080" w:sz="6" w:space="0"/>
              <w:insideH w:val="single" w:sz="6" w:space="0"/>
              <w:insideV w:val="single" w:sz="6" w:space="0"/>
            </w:tcBorders>
            <w:vAlign w:val="center"/>
          </w:tcPr>
          <w:p w14:paraId="597E4102">
            <w:pPr>
              <w:spacing w:before="0" w:after="0"/>
              <w:ind w:firstLine="0"/>
              <w:jc w:val="center"/>
            </w:pPr>
            <w:r>
              <w:rPr>
                <w:rFonts w:ascii="宋体" w:hAnsi="宋体" w:eastAsia="宋体"/>
                <w:sz w:val="19"/>
              </w:rPr>
              <w:t>国机2402</w:t>
            </w:r>
          </w:p>
        </w:tc>
      </w:tr>
      <w:tr w14:paraId="4E8C845A">
        <w:tblPrEx>
          <w:tblCellMar>
            <w:top w:w="0" w:type="dxa"/>
            <w:left w:w="108" w:type="dxa"/>
            <w:bottom w:w="0" w:type="dxa"/>
            <w:right w:w="108" w:type="dxa"/>
          </w:tblCellMar>
        </w:tblPrEx>
        <w:trPr>
          <w:jc w:val="center"/>
        </w:trPr>
        <w:tc>
          <w:tcPr>
            <w:tcW w:w="1247" w:type="dxa"/>
            <w:tcBorders>
              <w:top w:val="single" w:color="808080" w:sz="6" w:space="0"/>
              <w:left w:val="single" w:color="808080" w:sz="6" w:space="0"/>
              <w:bottom w:val="single" w:color="808080" w:sz="6" w:space="0"/>
              <w:right w:val="single" w:color="808080" w:sz="6" w:space="0"/>
              <w:insideH w:val="single" w:sz="6" w:space="0"/>
              <w:insideV w:val="single" w:sz="6" w:space="0"/>
            </w:tcBorders>
            <w:vAlign w:val="center"/>
          </w:tcPr>
          <w:p w14:paraId="5FD115D6">
            <w:pPr>
              <w:spacing w:before="0" w:after="0"/>
              <w:ind w:firstLine="0"/>
              <w:jc w:val="center"/>
            </w:pPr>
            <w:r>
              <w:rPr>
                <w:rFonts w:ascii="宋体" w:hAnsi="宋体" w:eastAsia="宋体"/>
                <w:sz w:val="19"/>
              </w:rPr>
              <w:t>实习日期</w:t>
            </w:r>
          </w:p>
        </w:tc>
        <w:tc>
          <w:tcPr>
            <w:tcW w:w="2381" w:type="dxa"/>
            <w:tcBorders>
              <w:top w:val="single" w:color="808080" w:sz="6" w:space="0"/>
              <w:left w:val="single" w:color="808080" w:sz="6" w:space="0"/>
              <w:bottom w:val="single" w:color="808080" w:sz="6" w:space="0"/>
              <w:right w:val="single" w:color="808080" w:sz="6" w:space="0"/>
              <w:insideH w:val="single" w:sz="6" w:space="0"/>
              <w:insideV w:val="single" w:sz="6" w:space="0"/>
            </w:tcBorders>
            <w:vAlign w:val="center"/>
          </w:tcPr>
          <w:p w14:paraId="15193008">
            <w:pPr>
              <w:spacing w:before="0" w:after="0"/>
              <w:ind w:firstLine="0"/>
              <w:jc w:val="center"/>
            </w:pPr>
            <w:r>
              <w:rPr>
                <w:rFonts w:ascii="宋体" w:hAnsi="宋体" w:eastAsia="宋体"/>
                <w:sz w:val="19"/>
              </w:rPr>
              <w:t>2026年9月2日</w:t>
            </w:r>
          </w:p>
        </w:tc>
        <w:tc>
          <w:tcPr>
            <w:tcW w:w="1247" w:type="dxa"/>
            <w:tcBorders>
              <w:top w:val="single" w:color="808080" w:sz="6" w:space="0"/>
              <w:left w:val="single" w:color="808080" w:sz="6" w:space="0"/>
              <w:bottom w:val="single" w:color="808080" w:sz="6" w:space="0"/>
              <w:right w:val="single" w:color="808080" w:sz="6" w:space="0"/>
              <w:insideH w:val="single" w:sz="6" w:space="0"/>
              <w:insideV w:val="single" w:sz="6" w:space="0"/>
            </w:tcBorders>
            <w:vAlign w:val="center"/>
          </w:tcPr>
          <w:p w14:paraId="4FC4FA3D">
            <w:pPr>
              <w:spacing w:before="0" w:after="0"/>
              <w:ind w:firstLine="0"/>
              <w:jc w:val="center"/>
            </w:pPr>
            <w:r>
              <w:rPr>
                <w:rFonts w:ascii="宋体" w:hAnsi="宋体" w:eastAsia="宋体"/>
                <w:sz w:val="19"/>
              </w:rPr>
              <w:t>指导教师</w:t>
            </w:r>
          </w:p>
        </w:tc>
        <w:tc>
          <w:tcPr>
            <w:tcW w:w="2835" w:type="dxa"/>
            <w:tcBorders>
              <w:top w:val="single" w:color="808080" w:sz="6" w:space="0"/>
              <w:left w:val="single" w:color="808080" w:sz="6" w:space="0"/>
              <w:bottom w:val="single" w:color="808080" w:sz="6" w:space="0"/>
              <w:right w:val="single" w:color="808080" w:sz="6" w:space="0"/>
              <w:insideH w:val="single" w:sz="6" w:space="0"/>
              <w:insideV w:val="single" w:sz="6" w:space="0"/>
            </w:tcBorders>
            <w:vAlign w:val="center"/>
          </w:tcPr>
          <w:p w14:paraId="1A19B71C">
            <w:pPr>
              <w:spacing w:before="0" w:after="0"/>
              <w:ind w:firstLine="0"/>
              <w:jc w:val="center"/>
            </w:pPr>
            <w:r>
              <w:rPr>
                <w:rFonts w:ascii="宋体" w:hAnsi="宋体" w:eastAsia="宋体"/>
                <w:sz w:val="19"/>
              </w:rPr>
              <w:t>郄龙飞</w:t>
            </w:r>
          </w:p>
        </w:tc>
      </w:tr>
    </w:tbl>
    <w:p w14:paraId="7346BBB0"/>
    <w:p w14:paraId="367DE009">
      <w:pPr>
        <w:pStyle w:val="165"/>
        <w:keepNext/>
      </w:pPr>
      <w:r>
        <w:t>一、3D打印技术概述</w:t>
      </w:r>
    </w:p>
    <w:p w14:paraId="33F47DF7">
      <w:pPr>
        <w:spacing w:after="0" w:line="360" w:lineRule="auto"/>
        <w:ind w:firstLine="420"/>
      </w:pPr>
      <w:r>
        <w:t>3D打印又称增材制造，是利用数字模型驱动设备，将材料按既定路径逐层增加并形成三维实体的制造方法。与车削、铣削等减材制造相比，它把复杂三维几何拆解为可重复执行的分层任务。课堂以“降维—升维”概括其思想：先将三维模型转化为二维层片和运动路径，再通过逐层成型恢复为三维实体，体现了数字设计、运动控制与材料成型的结合。 这种方法尤其适合复杂曲面、内部结构和小批量个性化制造，但打印材料、成形速度及后处理条件也会限制其适用范围。</w:t>
      </w:r>
    </w:p>
    <w:p w14:paraId="1B656DE3">
      <w:pPr>
        <w:pStyle w:val="165"/>
        <w:keepNext/>
      </w:pPr>
      <w:r>
        <w:t>二、3D打印的工作原理</w:t>
      </w:r>
    </w:p>
    <w:p w14:paraId="6B01567E">
      <w:pPr>
        <w:spacing w:after="0" w:line="360" w:lineRule="auto"/>
        <w:ind w:firstLine="420"/>
      </w:pPr>
      <w:r>
        <w:t>按照实习报告提纲，3D打印工作原理需说明四个典型步骤及其作用。结合课堂内容，可归纳为三维建模、分层切片、路径规划与指令生成、逐层成型四个环节。</w:t>
      </w:r>
    </w:p>
    <w:p w14:paraId="387E2D14">
      <w:pPr>
        <w:pStyle w:val="166"/>
        <w:keepNext/>
      </w:pPr>
      <w:r>
        <w:t>（一）三维数字模型建立</w:t>
      </w:r>
    </w:p>
    <w:p w14:paraId="3021BCCD">
      <w:pPr>
        <w:spacing w:after="0" w:line="360" w:lineRule="auto"/>
        <w:ind w:firstLine="420"/>
      </w:pPr>
      <w:r>
        <w:t>首先建立待打印零件的三维数字模型。模型可由SolidWorks、Rhino等软件正向设计，也可由三维扫描点云进行逆向建模，或使用已有数字模型。其作用是给出零件的几何边界和尺寸，为后续切片与轨迹计算提供数据基础。</w:t>
      </w:r>
    </w:p>
    <w:p w14:paraId="13BB4170">
      <w:pPr>
        <w:pStyle w:val="166"/>
        <w:keepNext/>
      </w:pPr>
      <w:r>
        <w:t>（二）分层切片</w:t>
      </w:r>
    </w:p>
    <w:p w14:paraId="41BB2558">
      <w:pPr>
        <w:spacing w:after="0" w:line="360" w:lineRule="auto"/>
        <w:ind w:firstLine="420"/>
      </w:pPr>
      <w:r>
        <w:t>模型建立后，按设定层厚沿高度方向分层，把连续三维几何分解为许多二维截面。课堂将其类比于微积分的微元思想：层厚Δ越小，对真实曲面的逼近越细，通常精度更高，但层数和打印时间也会增加。分层切片的作用是把难以一次完成的三维制造转化为可逐层执行的问题。</w:t>
      </w:r>
    </w:p>
    <w:p w14:paraId="00ACF674">
      <w:pPr>
        <w:spacing w:before="100" w:after="40"/>
        <w:jc w:val="center"/>
      </w:pPr>
      <w:r>
        <w:drawing>
          <wp:inline distT="0" distB="0" distL="114300" distR="114300">
            <wp:extent cx="5303520" cy="1569720"/>
            <wp:effectExtent l="0" t="0" r="5080" b="508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8"/>
                    <a:stretch>
                      <a:fillRect/>
                    </a:stretch>
                  </pic:blipFill>
                  <pic:spPr>
                    <a:xfrm>
                      <a:off x="0" y="0"/>
                      <a:ext cx="5303520" cy="1569956"/>
                    </a:xfrm>
                    <a:prstGeom prst="rect">
                      <a:avLst/>
                    </a:prstGeom>
                  </pic:spPr>
                </pic:pic>
              </a:graphicData>
            </a:graphic>
          </wp:inline>
        </w:drawing>
      </w:r>
    </w:p>
    <w:p w14:paraId="0EA74586">
      <w:pPr>
        <w:pStyle w:val="167"/>
        <w:keepNext w:val="0"/>
        <w:spacing w:before="0" w:after="80"/>
        <w:jc w:val="center"/>
      </w:pPr>
      <w:r>
        <w:t>图1  分层切片与层厚Δ示意图</w:t>
      </w:r>
    </w:p>
    <w:p w14:paraId="1F29A093">
      <w:pPr>
        <w:pStyle w:val="166"/>
        <w:keepNext/>
      </w:pPr>
      <w:r>
        <w:t>（三）路径规划与打印指令生成</w:t>
      </w:r>
    </w:p>
    <w:p w14:paraId="108196D4">
      <w:pPr>
        <w:spacing w:after="0" w:line="360" w:lineRule="auto"/>
        <w:ind w:firstLine="420"/>
      </w:pPr>
      <w:r>
        <w:t>切片后，软件确定每层轮廓、填充方式和运动顺序，例如S形或回字形填充；不同路径会影响打印时间、材料用量和内部强度。随后将轨迹转换成设备可执行的运动指令，课堂将其与数控加工中的G代码作了类比。该步骤把几何信息进一步转化为X、Y、Z轴运动以及挤出、曝光或激光扫描等具体动作。</w:t>
      </w:r>
    </w:p>
    <w:p w14:paraId="478E09AF">
      <w:pPr>
        <w:pStyle w:val="166"/>
        <w:keepNext/>
      </w:pPr>
      <w:r>
        <w:t>（四）逐层成型</w:t>
      </w:r>
    </w:p>
    <w:p w14:paraId="1836313D">
      <w:pPr>
        <w:spacing w:after="0" w:line="360" w:lineRule="auto"/>
        <w:ind w:firstLine="420"/>
      </w:pPr>
      <w:r>
        <w:t>设备按路径完成当前层后，再沿Z方向移动一个层厚并制造下一层，循环至零件完成。以FDM为例，熔融材料由点形成线、多条线构成面，多个面沿高度堆积成体。因此切片体现“降维”，制造体现“升维”；不同3D打印工艺的主要区别就在于每一层采用何种方式成型。</w:t>
      </w:r>
    </w:p>
    <w:p w14:paraId="4F0A742B">
      <w:pPr>
        <w:ind w:firstLine="0"/>
        <w:jc w:val="center"/>
      </w:pPr>
      <w:r>
        <w:drawing>
          <wp:inline distT="0" distB="0" distL="114300" distR="114300">
            <wp:extent cx="5579745" cy="1636395"/>
            <wp:effectExtent l="0" t="0" r="8255" b="190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9"/>
                    <a:stretch>
                      <a:fillRect/>
                    </a:stretch>
                  </pic:blipFill>
                  <pic:spPr>
                    <a:xfrm>
                      <a:off x="0" y="0"/>
                      <a:ext cx="5580000" cy="1636959"/>
                    </a:xfrm>
                    <a:prstGeom prst="rect">
                      <a:avLst/>
                    </a:prstGeom>
                  </pic:spPr>
                </pic:pic>
              </a:graphicData>
            </a:graphic>
          </wp:inline>
        </w:drawing>
      </w:r>
    </w:p>
    <w:p w14:paraId="7AD82949">
      <w:pPr>
        <w:pStyle w:val="167"/>
        <w:keepNext w:val="0"/>
        <w:spacing w:after="80"/>
        <w:jc w:val="center"/>
      </w:pPr>
      <w:r>
        <w:t>图2  3D打印基本流程与“降维—升维”原理简图</w:t>
      </w:r>
    </w:p>
    <w:p w14:paraId="0BDA0D9F">
      <w:pPr>
        <w:pStyle w:val="165"/>
        <w:keepNext/>
      </w:pPr>
      <w:r>
        <w:t>三、FDM、SLA与SLS三种打印工艺</w:t>
      </w:r>
    </w:p>
    <w:p w14:paraId="46544C1C">
      <w:pPr>
        <w:spacing w:after="0" w:line="360" w:lineRule="auto"/>
        <w:ind w:firstLine="420"/>
      </w:pPr>
      <w:r>
        <w:t>课堂重点比较了FDM熔融沉积、SLA光固化和SLS粉末床三种工艺。三者均遵循“分层—逐层制造”，但原料状态、单层成型方式、支撑条件和后处理不同。</w:t>
      </w:r>
    </w:p>
    <w:p w14:paraId="6897A9B7">
      <w:pPr>
        <w:pStyle w:val="166"/>
        <w:keepNext/>
      </w:pPr>
      <w:r>
        <w:t>（一）FDM熔融沉积成型</w:t>
      </w:r>
    </w:p>
    <w:p w14:paraId="25235C37">
      <w:pPr>
        <w:spacing w:after="0" w:line="360" w:lineRule="auto"/>
        <w:ind w:firstLine="420"/>
      </w:pPr>
      <w:r>
        <w:t>FDM使用PLA、ABS等热塑性丝材。丝材由送丝机构进入加热端，在喷嘴处熔融后按切片路径挤出；X、Y方向完成单层轨迹，一层结束后沿Z方向移动一个层厚。材料离开喷嘴后冷却固化并层层堆积。其优点是设备和耗材成本较低、操作方便、成品具有一定机械强度，后处理通常为去支撑和简单打磨；缺点是层纹明显，打印速度与精度需要权衡，且精度受喷嘴、层厚和运动机构限制，悬空结构往往需要支撑。 实际打印前还需根据材料设置喷嘴温度、热床温度、层厚和填充率等参数。</w:t>
      </w:r>
    </w:p>
    <w:p w14:paraId="52935C82">
      <w:pPr>
        <w:ind w:firstLine="0"/>
        <w:jc w:val="center"/>
      </w:pPr>
      <w:r>
        <w:drawing>
          <wp:inline distT="0" distB="0" distL="114300" distR="114300">
            <wp:extent cx="5327650" cy="2548890"/>
            <wp:effectExtent l="0" t="0" r="6350" b="381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10"/>
                    <a:stretch>
                      <a:fillRect/>
                    </a:stretch>
                  </pic:blipFill>
                  <pic:spPr>
                    <a:xfrm>
                      <a:off x="0" y="0"/>
                      <a:ext cx="5328000" cy="2549052"/>
                    </a:xfrm>
                    <a:prstGeom prst="rect">
                      <a:avLst/>
                    </a:prstGeom>
                  </pic:spPr>
                </pic:pic>
              </a:graphicData>
            </a:graphic>
          </wp:inline>
        </w:drawing>
      </w:r>
    </w:p>
    <w:p w14:paraId="4AB70819">
      <w:pPr>
        <w:pStyle w:val="167"/>
        <w:keepNext w:val="0"/>
        <w:spacing w:after="80"/>
        <w:jc w:val="center"/>
      </w:pPr>
      <w:r>
        <w:t>图3  FDM打印机基本结构与成型过程简图</w:t>
      </w:r>
    </w:p>
    <w:p w14:paraId="04C8FBFC">
      <w:pPr>
        <w:pStyle w:val="166"/>
        <w:keepNext/>
      </w:pPr>
      <w:r>
        <w:t>（二）SLA光固化成型</w:t>
      </w:r>
    </w:p>
    <w:p w14:paraId="313FCD67">
      <w:pPr>
        <w:spacing w:after="0" w:line="360" w:lineRule="auto"/>
        <w:ind w:firstLine="420"/>
      </w:pPr>
      <w:r>
        <w:t>SLA以液态光敏树脂为原料，激光按当前层截面选择性曝光，使受照区域固化；平台移动后继续固化下一层。由于光斑和层厚可较小，SLA通常具有较高精度、较光滑表面和丰富细节，适合外观或精细模型。其不足是树脂和设备成本较高，材料可能有刺激性气味，使用时需通风防护；打印后还需清洗残余树脂、去支撑并进行紫外线二次固化。课堂还扩展介绍了DLP面曝光和LCD光固化等方式：DLP可一次曝光一个截面，LCD利用液晶屏控制曝光区域。</w:t>
      </w:r>
    </w:p>
    <w:p w14:paraId="779E9AF4">
      <w:pPr>
        <w:pStyle w:val="166"/>
        <w:keepNext/>
      </w:pPr>
      <w:r>
        <w:t>（三）SLS：选择性激光烧结</w:t>
      </w:r>
    </w:p>
    <w:p w14:paraId="10869688">
      <w:pPr>
        <w:spacing w:after="0" w:line="360" w:lineRule="auto"/>
        <w:ind w:firstLine="420"/>
      </w:pPr>
      <w:r>
        <w:t>SLS属于粉末床增材制造。打印前铺设粉末，激光根据切片截面选择性扫描，使指定区域烧结形成当前层；随后平台下降、重新铺粉并加工下一层。未成形粉末可对零件提供支撑，因此适合复杂几何结构。其优点是成形自由度高、复杂结构适应性强；不足是设备成本高，铺粉、粉末回收和清粉等处理较复杂。课堂还将SLS与SLM作了扩展比较，说明粉末床工艺在材料和能量作用方式上存在差异。 打印结束后，未烧结粉末经筛分等处理可在一定条件下回收利用。</w:t>
      </w:r>
    </w:p>
    <w:p w14:paraId="171492A5">
      <w:pPr>
        <w:spacing w:before="100" w:after="40"/>
        <w:jc w:val="center"/>
      </w:pPr>
      <w:r>
        <w:drawing>
          <wp:inline distT="0" distB="0" distL="114300" distR="114300">
            <wp:extent cx="5486400" cy="2107565"/>
            <wp:effectExtent l="0" t="0" r="0" b="63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11"/>
                    <a:stretch>
                      <a:fillRect/>
                    </a:stretch>
                  </pic:blipFill>
                  <pic:spPr>
                    <a:xfrm>
                      <a:off x="0" y="0"/>
                      <a:ext cx="5486400" cy="2107933"/>
                    </a:xfrm>
                    <a:prstGeom prst="rect">
                      <a:avLst/>
                    </a:prstGeom>
                  </pic:spPr>
                </pic:pic>
              </a:graphicData>
            </a:graphic>
          </wp:inline>
        </w:drawing>
      </w:r>
    </w:p>
    <w:p w14:paraId="7885A484">
      <w:pPr>
        <w:pStyle w:val="167"/>
        <w:keepNext w:val="0"/>
        <w:spacing w:before="0" w:after="80"/>
        <w:jc w:val="center"/>
      </w:pPr>
      <w:r>
        <w:t>图4  FDM、SLA、SLS单层成型原理简图</w:t>
      </w:r>
    </w:p>
    <w:p w14:paraId="2F74FBEA">
      <w:pPr>
        <w:pStyle w:val="167"/>
        <w:keepNext w:val="0"/>
        <w:spacing w:after="80"/>
        <w:jc w:val="center"/>
      </w:pPr>
      <w:r>
        <w:t>表1  FDM、SLA、SLS工艺比较</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67"/>
        <w:gridCol w:w="1567"/>
        <w:gridCol w:w="1567"/>
        <w:gridCol w:w="1567"/>
        <w:gridCol w:w="1567"/>
        <w:gridCol w:w="1567"/>
      </w:tblGrid>
      <w:tr w14:paraId="3B6C12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67" w:type="dxa"/>
            <w:vAlign w:val="center"/>
          </w:tcPr>
          <w:p w14:paraId="58F71570">
            <w:pPr>
              <w:spacing w:before="0" w:after="0" w:line="276" w:lineRule="auto"/>
              <w:ind w:firstLine="0"/>
              <w:jc w:val="center"/>
            </w:pPr>
            <w:r>
              <w:rPr>
                <w:rFonts w:ascii="宋体" w:hAnsi="宋体" w:eastAsia="宋体"/>
                <w:b/>
                <w:sz w:val="19"/>
              </w:rPr>
              <w:t>工艺</w:t>
            </w:r>
          </w:p>
        </w:tc>
        <w:tc>
          <w:tcPr>
            <w:tcW w:w="1567" w:type="dxa"/>
            <w:vAlign w:val="center"/>
          </w:tcPr>
          <w:p w14:paraId="20EEE4CE">
            <w:pPr>
              <w:spacing w:before="0" w:after="0" w:line="276" w:lineRule="auto"/>
              <w:ind w:firstLine="0"/>
              <w:jc w:val="center"/>
            </w:pPr>
            <w:r>
              <w:rPr>
                <w:rFonts w:ascii="宋体" w:hAnsi="宋体" w:eastAsia="宋体"/>
                <w:b/>
                <w:sz w:val="19"/>
              </w:rPr>
              <w:t>主要原料状态</w:t>
            </w:r>
          </w:p>
        </w:tc>
        <w:tc>
          <w:tcPr>
            <w:tcW w:w="1567" w:type="dxa"/>
            <w:vAlign w:val="center"/>
          </w:tcPr>
          <w:p w14:paraId="4115C609">
            <w:pPr>
              <w:spacing w:before="0" w:after="0" w:line="276" w:lineRule="auto"/>
              <w:ind w:firstLine="0"/>
              <w:jc w:val="center"/>
            </w:pPr>
            <w:r>
              <w:rPr>
                <w:rFonts w:ascii="宋体" w:hAnsi="宋体" w:eastAsia="宋体"/>
                <w:b/>
                <w:sz w:val="19"/>
              </w:rPr>
              <w:t>单层成型方式</w:t>
            </w:r>
          </w:p>
        </w:tc>
        <w:tc>
          <w:tcPr>
            <w:tcW w:w="1567" w:type="dxa"/>
            <w:vAlign w:val="center"/>
          </w:tcPr>
          <w:p w14:paraId="6F6235E7">
            <w:pPr>
              <w:spacing w:before="0" w:after="0" w:line="276" w:lineRule="auto"/>
              <w:ind w:firstLine="0"/>
              <w:jc w:val="center"/>
            </w:pPr>
            <w:r>
              <w:rPr>
                <w:rFonts w:ascii="宋体" w:hAnsi="宋体" w:eastAsia="宋体"/>
                <w:b/>
                <w:sz w:val="19"/>
              </w:rPr>
              <w:t>主要优点</w:t>
            </w:r>
          </w:p>
        </w:tc>
        <w:tc>
          <w:tcPr>
            <w:tcW w:w="1567" w:type="dxa"/>
            <w:vAlign w:val="center"/>
          </w:tcPr>
          <w:p w14:paraId="16125A05">
            <w:pPr>
              <w:spacing w:before="0" w:after="0" w:line="276" w:lineRule="auto"/>
              <w:ind w:firstLine="0"/>
              <w:jc w:val="center"/>
            </w:pPr>
            <w:r>
              <w:rPr>
                <w:rFonts w:ascii="宋体" w:hAnsi="宋体" w:eastAsia="宋体"/>
                <w:b/>
                <w:sz w:val="19"/>
              </w:rPr>
              <w:t>主要不足</w:t>
            </w:r>
          </w:p>
        </w:tc>
        <w:tc>
          <w:tcPr>
            <w:tcW w:w="1567" w:type="dxa"/>
            <w:vAlign w:val="center"/>
          </w:tcPr>
          <w:p w14:paraId="56A0D5D2">
            <w:pPr>
              <w:spacing w:before="0" w:after="0" w:line="276" w:lineRule="auto"/>
              <w:ind w:firstLine="0"/>
              <w:jc w:val="center"/>
            </w:pPr>
            <w:r>
              <w:rPr>
                <w:rFonts w:ascii="宋体" w:hAnsi="宋体" w:eastAsia="宋体"/>
                <w:b/>
                <w:sz w:val="19"/>
              </w:rPr>
              <w:t>典型后处理</w:t>
            </w:r>
          </w:p>
        </w:tc>
      </w:tr>
      <w:tr w14:paraId="6B80C9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67" w:type="dxa"/>
            <w:vAlign w:val="center"/>
          </w:tcPr>
          <w:p w14:paraId="480D91D7">
            <w:pPr>
              <w:spacing w:before="0" w:after="0" w:line="276" w:lineRule="auto"/>
              <w:ind w:firstLine="0"/>
              <w:jc w:val="center"/>
            </w:pPr>
            <w:r>
              <w:rPr>
                <w:rFonts w:ascii="宋体" w:hAnsi="宋体" w:eastAsia="宋体"/>
                <w:sz w:val="19"/>
              </w:rPr>
              <w:t>FDM</w:t>
            </w:r>
          </w:p>
        </w:tc>
        <w:tc>
          <w:tcPr>
            <w:tcW w:w="1567" w:type="dxa"/>
            <w:vAlign w:val="center"/>
          </w:tcPr>
          <w:p w14:paraId="7908EE9D">
            <w:pPr>
              <w:spacing w:before="0" w:after="0" w:line="276" w:lineRule="auto"/>
              <w:ind w:firstLine="0"/>
              <w:jc w:val="center"/>
            </w:pPr>
            <w:r>
              <w:rPr>
                <w:rFonts w:ascii="宋体" w:hAnsi="宋体" w:eastAsia="宋体"/>
                <w:sz w:val="19"/>
              </w:rPr>
              <w:t>热塑性丝材</w:t>
            </w:r>
          </w:p>
        </w:tc>
        <w:tc>
          <w:tcPr>
            <w:tcW w:w="1567" w:type="dxa"/>
            <w:vAlign w:val="center"/>
          </w:tcPr>
          <w:p w14:paraId="60D6F0F0">
            <w:pPr>
              <w:spacing w:before="0" w:after="0" w:line="276" w:lineRule="auto"/>
              <w:ind w:firstLine="0"/>
              <w:jc w:val="center"/>
            </w:pPr>
            <w:r>
              <w:rPr>
                <w:rFonts w:ascii="宋体" w:hAnsi="宋体" w:eastAsia="宋体"/>
                <w:sz w:val="19"/>
              </w:rPr>
              <w:t>熔融挤出、路径沉积</w:t>
            </w:r>
          </w:p>
        </w:tc>
        <w:tc>
          <w:tcPr>
            <w:tcW w:w="1567" w:type="dxa"/>
            <w:vAlign w:val="center"/>
          </w:tcPr>
          <w:p w14:paraId="26774E6A">
            <w:pPr>
              <w:spacing w:before="0" w:after="0" w:line="276" w:lineRule="auto"/>
              <w:ind w:firstLine="0"/>
              <w:jc w:val="center"/>
            </w:pPr>
            <w:r>
              <w:rPr>
                <w:rFonts w:ascii="宋体" w:hAnsi="宋体" w:eastAsia="宋体"/>
                <w:sz w:val="19"/>
              </w:rPr>
              <w:t>成本低、操作简单、强度较好</w:t>
            </w:r>
          </w:p>
        </w:tc>
        <w:tc>
          <w:tcPr>
            <w:tcW w:w="1567" w:type="dxa"/>
            <w:vAlign w:val="center"/>
          </w:tcPr>
          <w:p w14:paraId="456BF375">
            <w:pPr>
              <w:spacing w:before="0" w:after="0" w:line="276" w:lineRule="auto"/>
              <w:ind w:firstLine="0"/>
              <w:jc w:val="center"/>
            </w:pPr>
            <w:r>
              <w:rPr>
                <w:rFonts w:ascii="宋体" w:hAnsi="宋体" w:eastAsia="宋体"/>
                <w:sz w:val="19"/>
              </w:rPr>
              <w:t>层纹明显，速度与精度需权衡</w:t>
            </w:r>
          </w:p>
        </w:tc>
        <w:tc>
          <w:tcPr>
            <w:tcW w:w="1567" w:type="dxa"/>
            <w:vAlign w:val="center"/>
          </w:tcPr>
          <w:p w14:paraId="6412BE36">
            <w:pPr>
              <w:spacing w:before="0" w:after="0" w:line="276" w:lineRule="auto"/>
              <w:ind w:firstLine="0"/>
              <w:jc w:val="center"/>
            </w:pPr>
            <w:r>
              <w:rPr>
                <w:rFonts w:ascii="宋体" w:hAnsi="宋体" w:eastAsia="宋体"/>
                <w:sz w:val="19"/>
              </w:rPr>
              <w:t>去支撑、打磨</w:t>
            </w:r>
          </w:p>
        </w:tc>
      </w:tr>
      <w:tr w14:paraId="074927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67" w:type="dxa"/>
            <w:vAlign w:val="center"/>
          </w:tcPr>
          <w:p w14:paraId="1221859E">
            <w:pPr>
              <w:spacing w:before="0" w:after="0" w:line="276" w:lineRule="auto"/>
              <w:ind w:firstLine="0"/>
              <w:jc w:val="center"/>
            </w:pPr>
            <w:r>
              <w:rPr>
                <w:rFonts w:ascii="宋体" w:hAnsi="宋体" w:eastAsia="宋体"/>
                <w:sz w:val="19"/>
              </w:rPr>
              <w:t>SLA</w:t>
            </w:r>
          </w:p>
        </w:tc>
        <w:tc>
          <w:tcPr>
            <w:tcW w:w="1567" w:type="dxa"/>
            <w:vAlign w:val="center"/>
          </w:tcPr>
          <w:p w14:paraId="0CE2A361">
            <w:pPr>
              <w:spacing w:before="0" w:after="0" w:line="276" w:lineRule="auto"/>
              <w:ind w:firstLine="0"/>
              <w:jc w:val="center"/>
            </w:pPr>
            <w:r>
              <w:rPr>
                <w:rFonts w:ascii="宋体" w:hAnsi="宋体" w:eastAsia="宋体"/>
                <w:sz w:val="19"/>
              </w:rPr>
              <w:t>液态光敏树脂</w:t>
            </w:r>
          </w:p>
        </w:tc>
        <w:tc>
          <w:tcPr>
            <w:tcW w:w="1567" w:type="dxa"/>
            <w:vAlign w:val="center"/>
          </w:tcPr>
          <w:p w14:paraId="4675AF1B">
            <w:pPr>
              <w:spacing w:before="0" w:after="0" w:line="276" w:lineRule="auto"/>
              <w:ind w:firstLine="0"/>
              <w:jc w:val="center"/>
            </w:pPr>
            <w:r>
              <w:rPr>
                <w:rFonts w:ascii="宋体" w:hAnsi="宋体" w:eastAsia="宋体"/>
                <w:sz w:val="19"/>
              </w:rPr>
              <w:t>激光选择性光固化</w:t>
            </w:r>
          </w:p>
        </w:tc>
        <w:tc>
          <w:tcPr>
            <w:tcW w:w="1567" w:type="dxa"/>
            <w:vAlign w:val="center"/>
          </w:tcPr>
          <w:p w14:paraId="74105E7F">
            <w:pPr>
              <w:spacing w:before="0" w:after="0" w:line="276" w:lineRule="auto"/>
              <w:ind w:firstLine="0"/>
              <w:jc w:val="center"/>
            </w:pPr>
            <w:r>
              <w:rPr>
                <w:rFonts w:ascii="宋体" w:hAnsi="宋体" w:eastAsia="宋体"/>
                <w:sz w:val="19"/>
              </w:rPr>
              <w:t>精度高、表面光滑、细节丰富</w:t>
            </w:r>
          </w:p>
        </w:tc>
        <w:tc>
          <w:tcPr>
            <w:tcW w:w="1567" w:type="dxa"/>
            <w:vAlign w:val="center"/>
          </w:tcPr>
          <w:p w14:paraId="220E49F7">
            <w:pPr>
              <w:spacing w:before="0" w:after="0" w:line="276" w:lineRule="auto"/>
              <w:ind w:firstLine="0"/>
              <w:jc w:val="center"/>
            </w:pPr>
            <w:r>
              <w:rPr>
                <w:rFonts w:ascii="宋体" w:hAnsi="宋体" w:eastAsia="宋体"/>
                <w:sz w:val="19"/>
              </w:rPr>
              <w:t>材料和设备成本较高，后处理较多</w:t>
            </w:r>
          </w:p>
        </w:tc>
        <w:tc>
          <w:tcPr>
            <w:tcW w:w="1567" w:type="dxa"/>
            <w:vAlign w:val="center"/>
          </w:tcPr>
          <w:p w14:paraId="476657D0">
            <w:pPr>
              <w:spacing w:before="0" w:after="0" w:line="276" w:lineRule="auto"/>
              <w:ind w:firstLine="0"/>
              <w:jc w:val="center"/>
            </w:pPr>
            <w:r>
              <w:rPr>
                <w:rFonts w:ascii="宋体" w:hAnsi="宋体" w:eastAsia="宋体"/>
                <w:sz w:val="19"/>
              </w:rPr>
              <w:t>清洗、去支撑、二次固化</w:t>
            </w:r>
          </w:p>
        </w:tc>
      </w:tr>
      <w:tr w14:paraId="08A189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67" w:type="dxa"/>
            <w:vAlign w:val="center"/>
          </w:tcPr>
          <w:p w14:paraId="78739948">
            <w:pPr>
              <w:spacing w:before="0" w:after="0" w:line="276" w:lineRule="auto"/>
              <w:ind w:firstLine="0"/>
              <w:jc w:val="center"/>
            </w:pPr>
            <w:r>
              <w:rPr>
                <w:rFonts w:ascii="宋体" w:hAnsi="宋体" w:eastAsia="宋体"/>
                <w:sz w:val="19"/>
              </w:rPr>
              <w:t>SLS</w:t>
            </w:r>
          </w:p>
        </w:tc>
        <w:tc>
          <w:tcPr>
            <w:tcW w:w="1567" w:type="dxa"/>
            <w:vAlign w:val="center"/>
          </w:tcPr>
          <w:p w14:paraId="6C0A8EE2">
            <w:pPr>
              <w:spacing w:before="0" w:after="0" w:line="276" w:lineRule="auto"/>
              <w:ind w:firstLine="0"/>
              <w:jc w:val="center"/>
            </w:pPr>
            <w:r>
              <w:rPr>
                <w:rFonts w:ascii="宋体" w:hAnsi="宋体" w:eastAsia="宋体"/>
                <w:sz w:val="19"/>
              </w:rPr>
              <w:t>粉末材料</w:t>
            </w:r>
          </w:p>
        </w:tc>
        <w:tc>
          <w:tcPr>
            <w:tcW w:w="1567" w:type="dxa"/>
            <w:vAlign w:val="center"/>
          </w:tcPr>
          <w:p w14:paraId="32F42EA0">
            <w:pPr>
              <w:spacing w:before="0" w:after="0" w:line="276" w:lineRule="auto"/>
              <w:ind w:firstLine="0"/>
              <w:jc w:val="center"/>
            </w:pPr>
            <w:r>
              <w:rPr>
                <w:rFonts w:ascii="宋体" w:hAnsi="宋体" w:eastAsia="宋体"/>
                <w:sz w:val="19"/>
              </w:rPr>
              <w:t>铺粉后激光选择性烧结</w:t>
            </w:r>
          </w:p>
        </w:tc>
        <w:tc>
          <w:tcPr>
            <w:tcW w:w="1567" w:type="dxa"/>
            <w:vAlign w:val="center"/>
          </w:tcPr>
          <w:p w14:paraId="50D60FFB">
            <w:pPr>
              <w:spacing w:before="0" w:after="0" w:line="276" w:lineRule="auto"/>
              <w:ind w:firstLine="0"/>
              <w:jc w:val="center"/>
            </w:pPr>
            <w:r>
              <w:rPr>
                <w:rFonts w:ascii="宋体" w:hAnsi="宋体" w:eastAsia="宋体"/>
                <w:sz w:val="19"/>
              </w:rPr>
              <w:t>复杂结构能力强，粉末可提供支撑</w:t>
            </w:r>
          </w:p>
        </w:tc>
        <w:tc>
          <w:tcPr>
            <w:tcW w:w="1567" w:type="dxa"/>
            <w:vAlign w:val="center"/>
          </w:tcPr>
          <w:p w14:paraId="2DD3265E">
            <w:pPr>
              <w:spacing w:before="0" w:after="0" w:line="240" w:lineRule="auto"/>
              <w:ind w:firstLine="0"/>
              <w:jc w:val="center"/>
            </w:pPr>
            <w:r>
              <w:rPr>
                <w:rFonts w:ascii="宋体" w:hAnsi="宋体" w:eastAsia="宋体"/>
                <w:sz w:val="19"/>
              </w:rPr>
              <w:t>成本高；粉末处理复杂</w:t>
            </w:r>
          </w:p>
        </w:tc>
        <w:tc>
          <w:tcPr>
            <w:tcW w:w="1567" w:type="dxa"/>
            <w:vAlign w:val="center"/>
          </w:tcPr>
          <w:p w14:paraId="4DB8C88B">
            <w:pPr>
              <w:spacing w:before="0" w:after="0" w:line="276" w:lineRule="auto"/>
              <w:ind w:firstLine="0"/>
              <w:jc w:val="center"/>
            </w:pPr>
            <w:r>
              <w:rPr>
                <w:rFonts w:ascii="宋体" w:hAnsi="宋体" w:eastAsia="宋体"/>
                <w:sz w:val="19"/>
              </w:rPr>
              <w:t>清粉及必要的表面处理</w:t>
            </w:r>
          </w:p>
        </w:tc>
      </w:tr>
    </w:tbl>
    <w:p w14:paraId="1EDAFB29">
      <w:pPr>
        <w:pStyle w:val="165"/>
        <w:keepNext/>
      </w:pPr>
      <w:r>
        <w:t>四、FDM常用耗材PLA与ABS</w:t>
      </w:r>
    </w:p>
    <w:p w14:paraId="45789D9A">
      <w:pPr>
        <w:spacing w:after="0" w:line="360" w:lineRule="auto"/>
        <w:ind w:firstLine="420"/>
      </w:pPr>
      <w:r>
        <w:t>PLA和ABS是课堂重点比较的两种FDM常用材料。二者都可制成丝材并通过加热熔融挤出，但在韧性、耐热性、翘曲倾向和打印难度上差异明显。</w:t>
      </w:r>
    </w:p>
    <w:p w14:paraId="49410A39">
      <w:pPr>
        <w:pStyle w:val="166"/>
        <w:keepNext/>
      </w:pPr>
      <w:r>
        <w:t>（一）PLA的特点与应用</w:t>
      </w:r>
    </w:p>
    <w:p w14:paraId="65F9951E">
      <w:pPr>
        <w:spacing w:after="0" w:line="360" w:lineRule="auto"/>
        <w:ind w:firstLine="420"/>
      </w:pPr>
      <w:r>
        <w:t>PLA价格相对低、颜色丰富、打印条件较宽松，成品刚性较好且外观整齐，适合教学模型、外观原型和一般桌面打印。课堂指出PLA虽然强度较高，但偏脆，弯曲到一定程度时容易断裂；其玻璃化转变温度约60℃，耐热性有限。由于打印温度梯度相对较小，PLA通常比ABS更不易发生明显翘曲。</w:t>
      </w:r>
    </w:p>
    <w:p w14:paraId="1408BA44">
      <w:pPr>
        <w:pStyle w:val="166"/>
        <w:keepNext/>
      </w:pPr>
      <w:r>
        <w:t>（二）ABS的特点与应用</w:t>
      </w:r>
    </w:p>
    <w:p w14:paraId="3E918338">
      <w:pPr>
        <w:spacing w:after="0" w:line="360" w:lineRule="auto"/>
        <w:ind w:firstLine="420"/>
      </w:pPr>
      <w:r>
        <w:t>ABS比PLA更柔韧，可承受更大的弯曲和一定冲击，适合耐久性、抗跌落或轻微变形要求较高的功能件；课堂以乐高积木为例说明其应用。ABS玻璃化转变温度在100℃以上，耐热性优于PLA。但打印时材料从较高喷嘴温度快速冷却，会产生较大温度梯度和热收缩，内应力增大后容易出现边缘翘起甚至脱离平台，因此需要更重视热床温度和环境保温。</w:t>
      </w:r>
    </w:p>
    <w:p w14:paraId="7C3A3930">
      <w:pPr>
        <w:pStyle w:val="167"/>
        <w:keepNext w:val="0"/>
        <w:spacing w:after="80"/>
        <w:jc w:val="center"/>
      </w:pPr>
      <w:r>
        <w:t>表2  PLA与ABS性能及应用比较</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135"/>
        <w:gridCol w:w="3135"/>
        <w:gridCol w:w="3135"/>
      </w:tblGrid>
      <w:tr w14:paraId="0AB2BE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5" w:type="dxa"/>
            <w:vAlign w:val="center"/>
          </w:tcPr>
          <w:p w14:paraId="2EF24105">
            <w:pPr>
              <w:spacing w:before="0" w:after="0" w:line="276" w:lineRule="auto"/>
              <w:ind w:firstLine="0"/>
              <w:jc w:val="center"/>
            </w:pPr>
            <w:r>
              <w:rPr>
                <w:rFonts w:ascii="宋体" w:hAnsi="宋体" w:eastAsia="宋体"/>
                <w:b/>
                <w:sz w:val="19"/>
              </w:rPr>
              <w:t>比较项目</w:t>
            </w:r>
          </w:p>
        </w:tc>
        <w:tc>
          <w:tcPr>
            <w:tcW w:w="3135" w:type="dxa"/>
            <w:vAlign w:val="center"/>
          </w:tcPr>
          <w:p w14:paraId="231037F5">
            <w:pPr>
              <w:spacing w:before="0" w:after="0" w:line="276" w:lineRule="auto"/>
              <w:ind w:firstLine="0"/>
              <w:jc w:val="center"/>
            </w:pPr>
            <w:r>
              <w:rPr>
                <w:rFonts w:ascii="宋体" w:hAnsi="宋体" w:eastAsia="宋体"/>
                <w:b/>
                <w:sz w:val="19"/>
              </w:rPr>
              <w:t>PLA</w:t>
            </w:r>
          </w:p>
        </w:tc>
        <w:tc>
          <w:tcPr>
            <w:tcW w:w="3135" w:type="dxa"/>
            <w:vAlign w:val="center"/>
          </w:tcPr>
          <w:p w14:paraId="6D7FA614">
            <w:pPr>
              <w:spacing w:before="0" w:after="0" w:line="276" w:lineRule="auto"/>
              <w:ind w:firstLine="0"/>
              <w:jc w:val="center"/>
            </w:pPr>
            <w:r>
              <w:rPr>
                <w:rFonts w:ascii="宋体" w:hAnsi="宋体" w:eastAsia="宋体"/>
                <w:b/>
                <w:sz w:val="19"/>
              </w:rPr>
              <w:t>ABS</w:t>
            </w:r>
          </w:p>
        </w:tc>
      </w:tr>
      <w:tr w14:paraId="0E8D16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5" w:type="dxa"/>
            <w:vAlign w:val="center"/>
          </w:tcPr>
          <w:p w14:paraId="6836F180">
            <w:pPr>
              <w:spacing w:before="0" w:after="0" w:line="276" w:lineRule="auto"/>
              <w:ind w:firstLine="0"/>
              <w:jc w:val="center"/>
            </w:pPr>
            <w:r>
              <w:rPr>
                <w:rFonts w:ascii="宋体" w:hAnsi="宋体" w:eastAsia="宋体"/>
                <w:sz w:val="19"/>
              </w:rPr>
              <w:t>打印难度</w:t>
            </w:r>
          </w:p>
        </w:tc>
        <w:tc>
          <w:tcPr>
            <w:tcW w:w="3135" w:type="dxa"/>
            <w:vAlign w:val="center"/>
          </w:tcPr>
          <w:p w14:paraId="5C3032B7">
            <w:pPr>
              <w:spacing w:before="0" w:after="0" w:line="276" w:lineRule="auto"/>
              <w:ind w:firstLine="0"/>
              <w:jc w:val="center"/>
            </w:pPr>
            <w:r>
              <w:rPr>
                <w:rFonts w:ascii="宋体" w:hAnsi="宋体" w:eastAsia="宋体"/>
                <w:sz w:val="19"/>
              </w:rPr>
              <w:t>较低，适合常规桌面打印</w:t>
            </w:r>
          </w:p>
        </w:tc>
        <w:tc>
          <w:tcPr>
            <w:tcW w:w="3135" w:type="dxa"/>
            <w:vAlign w:val="center"/>
          </w:tcPr>
          <w:p w14:paraId="43CC4D1D">
            <w:pPr>
              <w:spacing w:before="0" w:after="0" w:line="276" w:lineRule="auto"/>
              <w:ind w:firstLine="0"/>
              <w:jc w:val="center"/>
            </w:pPr>
            <w:r>
              <w:rPr>
                <w:rFonts w:ascii="宋体" w:hAnsi="宋体" w:eastAsia="宋体"/>
                <w:sz w:val="19"/>
              </w:rPr>
              <w:t>较高，对热床和环境温度更敏感</w:t>
            </w:r>
          </w:p>
        </w:tc>
      </w:tr>
      <w:tr w14:paraId="51263E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5" w:type="dxa"/>
            <w:vAlign w:val="center"/>
          </w:tcPr>
          <w:p w14:paraId="3805414C">
            <w:pPr>
              <w:spacing w:before="0" w:after="0" w:line="276" w:lineRule="auto"/>
              <w:ind w:firstLine="0"/>
              <w:jc w:val="center"/>
            </w:pPr>
            <w:r>
              <w:rPr>
                <w:rFonts w:ascii="宋体" w:hAnsi="宋体" w:eastAsia="宋体"/>
                <w:sz w:val="19"/>
              </w:rPr>
              <w:t>力学特点</w:t>
            </w:r>
          </w:p>
        </w:tc>
        <w:tc>
          <w:tcPr>
            <w:tcW w:w="3135" w:type="dxa"/>
            <w:vAlign w:val="center"/>
          </w:tcPr>
          <w:p w14:paraId="636C475B">
            <w:pPr>
              <w:spacing w:before="0" w:after="0" w:line="276" w:lineRule="auto"/>
              <w:ind w:firstLine="0"/>
              <w:jc w:val="center"/>
            </w:pPr>
            <w:r>
              <w:rPr>
                <w:rFonts w:ascii="宋体" w:hAnsi="宋体" w:eastAsia="宋体"/>
                <w:sz w:val="19"/>
              </w:rPr>
              <w:t>刚性较好但偏脆</w:t>
            </w:r>
          </w:p>
        </w:tc>
        <w:tc>
          <w:tcPr>
            <w:tcW w:w="3135" w:type="dxa"/>
            <w:vAlign w:val="center"/>
          </w:tcPr>
          <w:p w14:paraId="39622BBD">
            <w:pPr>
              <w:spacing w:before="0" w:after="0" w:line="276" w:lineRule="auto"/>
              <w:ind w:firstLine="0"/>
              <w:jc w:val="center"/>
            </w:pPr>
            <w:r>
              <w:rPr>
                <w:rFonts w:ascii="宋体" w:hAnsi="宋体" w:eastAsia="宋体"/>
                <w:sz w:val="19"/>
              </w:rPr>
              <w:t>韧性、耐久性较好</w:t>
            </w:r>
          </w:p>
        </w:tc>
      </w:tr>
      <w:tr w14:paraId="3CF0D1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5" w:type="dxa"/>
            <w:vAlign w:val="center"/>
          </w:tcPr>
          <w:p w14:paraId="12C8C4FD">
            <w:pPr>
              <w:spacing w:before="0" w:after="0" w:line="276" w:lineRule="auto"/>
              <w:ind w:firstLine="0"/>
              <w:jc w:val="center"/>
            </w:pPr>
            <w:r>
              <w:rPr>
                <w:rFonts w:ascii="宋体" w:hAnsi="宋体" w:eastAsia="宋体"/>
                <w:sz w:val="19"/>
              </w:rPr>
              <w:t>耐热性</w:t>
            </w:r>
          </w:p>
        </w:tc>
        <w:tc>
          <w:tcPr>
            <w:tcW w:w="3135" w:type="dxa"/>
            <w:vAlign w:val="center"/>
          </w:tcPr>
          <w:p w14:paraId="05563731">
            <w:pPr>
              <w:spacing w:before="0" w:after="0" w:line="276" w:lineRule="auto"/>
              <w:ind w:firstLine="0"/>
              <w:jc w:val="center"/>
            </w:pPr>
            <w:r>
              <w:rPr>
                <w:rFonts w:ascii="宋体" w:hAnsi="宋体" w:eastAsia="宋体"/>
                <w:sz w:val="19"/>
              </w:rPr>
              <w:t>较低，玻璃化转变温度约60℃</w:t>
            </w:r>
          </w:p>
        </w:tc>
        <w:tc>
          <w:tcPr>
            <w:tcW w:w="3135" w:type="dxa"/>
            <w:vAlign w:val="center"/>
          </w:tcPr>
          <w:p w14:paraId="61FFA4ED">
            <w:pPr>
              <w:spacing w:before="0" w:after="0" w:line="276" w:lineRule="auto"/>
              <w:ind w:firstLine="0"/>
              <w:jc w:val="center"/>
            </w:pPr>
            <w:r>
              <w:rPr>
                <w:rFonts w:ascii="宋体" w:hAnsi="宋体" w:eastAsia="宋体"/>
                <w:sz w:val="19"/>
              </w:rPr>
              <w:t>较高，玻璃化转变温度100℃以上</w:t>
            </w:r>
          </w:p>
        </w:tc>
      </w:tr>
      <w:tr w14:paraId="1CC5EA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5" w:type="dxa"/>
            <w:vAlign w:val="center"/>
          </w:tcPr>
          <w:p w14:paraId="53BE7ABC">
            <w:pPr>
              <w:spacing w:before="0" w:after="0" w:line="276" w:lineRule="auto"/>
              <w:ind w:firstLine="0"/>
              <w:jc w:val="center"/>
            </w:pPr>
            <w:r>
              <w:rPr>
                <w:rFonts w:ascii="宋体" w:hAnsi="宋体" w:eastAsia="宋体"/>
                <w:sz w:val="19"/>
              </w:rPr>
              <w:t>翘曲倾向</w:t>
            </w:r>
          </w:p>
        </w:tc>
        <w:tc>
          <w:tcPr>
            <w:tcW w:w="3135" w:type="dxa"/>
            <w:vAlign w:val="center"/>
          </w:tcPr>
          <w:p w14:paraId="3B20A503">
            <w:pPr>
              <w:spacing w:before="0" w:after="0" w:line="276" w:lineRule="auto"/>
              <w:ind w:firstLine="0"/>
              <w:jc w:val="center"/>
            </w:pPr>
            <w:r>
              <w:rPr>
                <w:rFonts w:ascii="宋体" w:hAnsi="宋体" w:eastAsia="宋体"/>
                <w:sz w:val="19"/>
              </w:rPr>
              <w:t>相对较小</w:t>
            </w:r>
          </w:p>
        </w:tc>
        <w:tc>
          <w:tcPr>
            <w:tcW w:w="3135" w:type="dxa"/>
            <w:vAlign w:val="center"/>
          </w:tcPr>
          <w:p w14:paraId="0F80D9CB">
            <w:pPr>
              <w:spacing w:before="0" w:after="0" w:line="276" w:lineRule="auto"/>
              <w:ind w:firstLine="0"/>
              <w:jc w:val="center"/>
            </w:pPr>
            <w:r>
              <w:rPr>
                <w:rFonts w:ascii="宋体" w:hAnsi="宋体" w:eastAsia="宋体"/>
                <w:sz w:val="19"/>
              </w:rPr>
              <w:t>较明显，需减小温度梯度</w:t>
            </w:r>
          </w:p>
        </w:tc>
      </w:tr>
      <w:tr w14:paraId="64FD6E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5" w:type="dxa"/>
            <w:vAlign w:val="center"/>
          </w:tcPr>
          <w:p w14:paraId="74B94251">
            <w:pPr>
              <w:spacing w:before="0" w:after="0" w:line="276" w:lineRule="auto"/>
              <w:ind w:firstLine="0"/>
              <w:jc w:val="center"/>
            </w:pPr>
            <w:r>
              <w:rPr>
                <w:rFonts w:ascii="宋体" w:hAnsi="宋体" w:eastAsia="宋体"/>
                <w:sz w:val="19"/>
              </w:rPr>
              <w:t>适用场景</w:t>
            </w:r>
          </w:p>
        </w:tc>
        <w:tc>
          <w:tcPr>
            <w:tcW w:w="3135" w:type="dxa"/>
            <w:vAlign w:val="center"/>
          </w:tcPr>
          <w:p w14:paraId="4F3DAD05">
            <w:pPr>
              <w:spacing w:before="0" w:after="0" w:line="276" w:lineRule="auto"/>
              <w:ind w:firstLine="0"/>
              <w:jc w:val="center"/>
            </w:pPr>
            <w:r>
              <w:rPr>
                <w:rFonts w:ascii="宋体" w:hAnsi="宋体" w:eastAsia="宋体"/>
                <w:sz w:val="19"/>
              </w:rPr>
              <w:t>教学模型、外观原型、一般零件</w:t>
            </w:r>
          </w:p>
        </w:tc>
        <w:tc>
          <w:tcPr>
            <w:tcW w:w="3135" w:type="dxa"/>
            <w:vAlign w:val="center"/>
          </w:tcPr>
          <w:p w14:paraId="0FAE3E76">
            <w:pPr>
              <w:spacing w:before="0" w:after="0" w:line="276" w:lineRule="auto"/>
              <w:ind w:firstLine="0"/>
              <w:jc w:val="center"/>
            </w:pPr>
            <w:r>
              <w:rPr>
                <w:rFonts w:ascii="宋体" w:hAnsi="宋体" w:eastAsia="宋体"/>
                <w:sz w:val="19"/>
              </w:rPr>
              <w:t>耐久功能件、需要一定耐热或抗冲击的零件</w:t>
            </w:r>
          </w:p>
        </w:tc>
      </w:tr>
    </w:tbl>
    <w:p w14:paraId="6EB50945">
      <w:pPr>
        <w:pStyle w:val="165"/>
        <w:keepNext/>
      </w:pPr>
      <w:r>
        <w:t>五、实习认识与总结</w:t>
      </w:r>
    </w:p>
    <w:p w14:paraId="3C2CE92B">
      <w:pPr>
        <w:spacing w:after="0" w:line="360" w:lineRule="auto"/>
        <w:ind w:firstLine="420"/>
      </w:pPr>
      <w:r>
        <w:t>通过本次实习，我对3D打印的认识由“把模型直接打印出来”转变为对完整数字制造链条的理解。三维模型只是起点，切片、路径规划、运动控制、材料成型和后处理共同决定最终结果。“降维—升维”的解释使我认识到，3D打印本质上是把复杂制造任务拆解为大量可重复执行的基本单元，再通过精确控制重新组合成实体。</w:t>
      </w:r>
    </w:p>
    <w:p w14:paraId="1EDF6EED">
      <w:pPr>
        <w:spacing w:after="0" w:line="360" w:lineRule="auto"/>
        <w:ind w:firstLine="420"/>
      </w:pPr>
      <w:r>
        <w:t>FDM、SLA和SLS的比较也说明，不存在适用于所有零件的单一最优工艺：关注成本和操作便利时可考虑FDM；重视表面质量和细节时光固化更合适；面对复杂几何并希望利用粉末支撑时，粉末床工艺更有优势。即使同为FDM，PLA与ABS的差异也会影响打印温度、翘曲、耐热性和零件使用性能。实际选择应综合结构、精度、材料、成本和后处理要求。 因此，工艺选择的本质是在成形质量、制造效率和使用性能之间进行综合权衡。</w:t>
      </w:r>
    </w:p>
    <w:p w14:paraId="215E0C26">
      <w:pPr>
        <w:spacing w:before="200" w:after="0" w:line="360" w:lineRule="auto"/>
        <w:ind w:firstLine="420"/>
      </w:pPr>
      <w:bookmarkStart w:id="0" w:name="_GoBack"/>
      <w:bookmarkEnd w:id="0"/>
    </w:p>
    <w:sectPr>
      <w:headerReference r:id="rId5" w:type="default"/>
      <w:footerReference r:id="rId6" w:type="default"/>
      <w:pgSz w:w="12240" w:h="15840"/>
      <w:pgMar w:top="1361" w:right="1361" w:bottom="1247" w:left="1474"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仓耳渔阳体 W03"/>
    <w:panose1 w:val="00000000000000000000"/>
    <w:charset w:val="80"/>
    <w:family w:val="roman"/>
    <w:pitch w:val="default"/>
    <w:sig w:usb0="00000000" w:usb1="00000000" w:usb2="00000010" w:usb3="00000000" w:csb0="00020000" w:csb1="00000000"/>
  </w:font>
  <w:font w:name="ＭＳ 明朝">
    <w:altName w:val="宋体"/>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Arial">
    <w:panose1 w:val="020B0604020202020204"/>
    <w:charset w:val="00"/>
    <w:family w:val="auto"/>
    <w:pitch w:val="default"/>
    <w:sig w:usb0="E0002EFF" w:usb1="C000785B" w:usb2="00000009" w:usb3="00000000" w:csb0="400001FF" w:csb1="FFFF0000"/>
  </w:font>
  <w:font w:name="Noto Sans CJK SC">
    <w:altName w:val="FFont-Family"/>
    <w:panose1 w:val="00000000000000000000"/>
    <w:charset w:val="00"/>
    <w:family w:val="auto"/>
    <w:pitch w:val="default"/>
    <w:sig w:usb0="00000000" w:usb1="00000000" w:usb2="00000000" w:usb3="00000000" w:csb0="00000000" w:csb1="00000000"/>
  </w:font>
  <w:font w:name="ＭＳ 明朝">
    <w:altName w:val="FFont-Family"/>
    <w:panose1 w:val="00000000000000000000"/>
    <w:charset w:val="00"/>
    <w:family w:val="auto"/>
    <w:pitch w:val="default"/>
    <w:sig w:usb0="00000000" w:usb1="00000000" w:usb2="00000000" w:usb3="00000000" w:csb0="00000000" w:csb1="00000000"/>
  </w:font>
  <w:font w:name="FFont-Family">
    <w:panose1 w:val="02000509000000000000"/>
    <w:charset w:val="00"/>
    <w:family w:val="auto"/>
    <w:pitch w:val="default"/>
    <w:sig w:usb0="00000001" w:usb1="0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804030C">
    <w:pPr>
      <w:pStyle w:val="24"/>
      <w:ind w:firstLine="0"/>
      <w:jc w:val="center"/>
    </w:pPr>
    <w:r>
      <w:rPr>
        <w:sz w:val="18"/>
      </w:rPr>
      <w:t xml:space="preserve">第 </w:t>
    </w:r>
    <w:r>
      <w:rPr>
        <w:sz w:val="18"/>
      </w:rPr>
      <w:fldChar w:fldCharType="begin"/>
    </w:r>
    <w:r>
      <w:rPr>
        <w:sz w:val="18"/>
      </w:rPr>
      <w:instrText xml:space="preserve"> PAGE </w:instrText>
    </w:r>
    <w:r>
      <w:rPr>
        <w:sz w:val="18"/>
      </w:rPr>
      <w:fldChar w:fldCharType="end"/>
    </w:r>
    <w:r>
      <w:rPr>
        <w:sz w:val="18"/>
      </w:rPr>
      <w:t xml:space="preserve"> 页</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60" w:lineRule="auto"/>
      </w:pPr>
      <w:r>
        <w:separator/>
      </w:r>
    </w:p>
  </w:footnote>
  <w:footnote w:type="continuationSeparator" w:id="1">
    <w:p>
      <w:pPr>
        <w:spacing w:before="0" w:after="0" w:line="36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B442421">
    <w:pPr>
      <w:pStyle w:val="25"/>
      <w:ind w:firstLine="0"/>
      <w:jc w:val="center"/>
    </w:pPr>
    <w:r>
      <w:rPr>
        <w:rFonts w:ascii="宋体" w:hAnsi="宋体" w:eastAsia="宋体"/>
        <w:color w:val="6E6E6E"/>
        <w:sz w:val="18"/>
      </w:rPr>
      <w:t>北京化工大学《认识实习》— 3D打印</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60"/>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59CA5320"/>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0" w:line="360" w:lineRule="auto"/>
      <w:ind w:firstLine="420"/>
    </w:pPr>
    <w:rPr>
      <w:rFonts w:ascii="宋体" w:hAnsi="宋体" w:eastAsia="宋体" w:cstheme="minorBidi"/>
      <w:sz w:val="24"/>
      <w:szCs w:val="22"/>
      <w:lang w:val="en-US" w:eastAsia="en-US" w:bidi="ar-SA"/>
    </w:rPr>
  </w:style>
  <w:style w:type="paragraph" w:styleId="3">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4">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5">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qFormat/>
    <w:uiPriority w:val="1"/>
  </w:style>
  <w:style w:type="table" w:default="1" w:styleId="32">
    <w:name w:val="Normal Table"/>
    <w:semiHidden/>
    <w:unhideWhenUsed/>
    <w:qFormat/>
    <w:uiPriority w:val="99"/>
    <w:tblPr>
      <w:tblCellMar>
        <w:top w:w="0" w:type="dxa"/>
        <w:left w:w="108" w:type="dxa"/>
        <w:bottom w:w="0" w:type="dxa"/>
        <w:right w:w="108" w:type="dxa"/>
      </w:tblCellMar>
    </w:tblPr>
  </w:style>
  <w:style w:type="paragraph" w:styleId="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qFormat/>
    <w:uiPriority w:val="99"/>
    <w:pPr>
      <w:ind w:left="1080" w:hanging="360"/>
      <w:contextualSpacing/>
    </w:pPr>
  </w:style>
  <w:style w:type="paragraph" w:styleId="13">
    <w:name w:val="List Number 2"/>
    <w:basedOn w:val="1"/>
    <w:unhideWhenUsed/>
    <w:qFormat/>
    <w:uiPriority w:val="99"/>
    <w:pPr>
      <w:numPr>
        <w:ilvl w:val="0"/>
        <w:numId w:val="1"/>
      </w:numPr>
      <w:contextualSpacing/>
    </w:pPr>
  </w:style>
  <w:style w:type="paragraph" w:styleId="14">
    <w:name w:val="List Number"/>
    <w:basedOn w:val="1"/>
    <w:unhideWhenUsed/>
    <w:qFormat/>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qFormat/>
    <w:uiPriority w:val="99"/>
    <w:pPr>
      <w:numPr>
        <w:ilvl w:val="0"/>
        <w:numId w:val="3"/>
      </w:numPr>
      <w:contextualSpacing/>
    </w:pPr>
  </w:style>
  <w:style w:type="paragraph" w:styleId="17">
    <w:name w:val="Body Text 3"/>
    <w:basedOn w:val="1"/>
    <w:link w:val="146"/>
    <w:unhideWhenUsed/>
    <w:qFormat/>
    <w:uiPriority w:val="99"/>
    <w:pPr>
      <w:spacing w:after="120"/>
    </w:pPr>
    <w:rPr>
      <w:sz w:val="16"/>
      <w:szCs w:val="16"/>
    </w:rPr>
  </w:style>
  <w:style w:type="paragraph" w:styleId="18">
    <w:name w:val="List Bullet 3"/>
    <w:basedOn w:val="1"/>
    <w:unhideWhenUsed/>
    <w:qFormat/>
    <w:uiPriority w:val="99"/>
    <w:pPr>
      <w:numPr>
        <w:ilvl w:val="0"/>
        <w:numId w:val="4"/>
      </w:numPr>
      <w:contextualSpacing/>
    </w:pPr>
  </w:style>
  <w:style w:type="paragraph" w:styleId="19">
    <w:name w:val="Body Text"/>
    <w:basedOn w:val="1"/>
    <w:link w:val="144"/>
    <w:unhideWhenUsed/>
    <w:qFormat/>
    <w:uiPriority w:val="99"/>
    <w:pPr>
      <w:spacing w:after="120"/>
    </w:pPr>
  </w:style>
  <w:style w:type="paragraph" w:styleId="20">
    <w:name w:val="List Number 3"/>
    <w:basedOn w:val="1"/>
    <w:unhideWhenUsed/>
    <w:qFormat/>
    <w:uiPriority w:val="99"/>
    <w:pPr>
      <w:numPr>
        <w:ilvl w:val="0"/>
        <w:numId w:val="5"/>
      </w:numPr>
      <w:contextualSpacing/>
    </w:pPr>
  </w:style>
  <w:style w:type="paragraph" w:styleId="21">
    <w:name w:val="List 2"/>
    <w:basedOn w:val="1"/>
    <w:unhideWhenUsed/>
    <w:qFormat/>
    <w:uiPriority w:val="99"/>
    <w:pPr>
      <w:ind w:left="720" w:hanging="360"/>
      <w:contextualSpacing/>
    </w:pPr>
  </w:style>
  <w:style w:type="paragraph" w:styleId="22">
    <w:name w:val="List Continue"/>
    <w:basedOn w:val="1"/>
    <w:unhideWhenUsed/>
    <w:qFormat/>
    <w:uiPriority w:val="99"/>
    <w:pPr>
      <w:spacing w:after="120"/>
      <w:ind w:left="360"/>
      <w:contextualSpacing/>
    </w:pPr>
  </w:style>
  <w:style w:type="paragraph" w:styleId="23">
    <w:name w:val="List Bullet 2"/>
    <w:basedOn w:val="1"/>
    <w:unhideWhenUsed/>
    <w:qFormat/>
    <w:uiPriority w:val="99"/>
    <w:pPr>
      <w:numPr>
        <w:ilvl w:val="0"/>
        <w:numId w:val="6"/>
      </w:numPr>
      <w:contextualSpacing/>
    </w:pPr>
  </w:style>
  <w:style w:type="paragraph" w:styleId="24">
    <w:name w:val="footer"/>
    <w:basedOn w:val="1"/>
    <w:link w:val="136"/>
    <w:unhideWhenUsed/>
    <w:uiPriority w:val="99"/>
    <w:pPr>
      <w:tabs>
        <w:tab w:val="center" w:pos="4680"/>
        <w:tab w:val="right" w:pos="9360"/>
      </w:tabs>
      <w:spacing w:after="0" w:line="240" w:lineRule="auto"/>
    </w:pPr>
  </w:style>
  <w:style w:type="paragraph" w:styleId="25">
    <w:name w:val="header"/>
    <w:basedOn w:val="1"/>
    <w:link w:val="135"/>
    <w:unhideWhenUsed/>
    <w:qFormat/>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qFormat/>
    <w:uiPriority w:val="99"/>
    <w:pPr>
      <w:ind w:left="360" w:hanging="360"/>
      <w:contextualSpacing/>
    </w:pPr>
  </w:style>
  <w:style w:type="paragraph" w:styleId="28">
    <w:name w:val="Body Text 2"/>
    <w:basedOn w:val="1"/>
    <w:link w:val="145"/>
    <w:unhideWhenUsed/>
    <w:qFormat/>
    <w:uiPriority w:val="99"/>
    <w:pPr>
      <w:spacing w:after="120" w:line="480" w:lineRule="auto"/>
    </w:pPr>
  </w:style>
  <w:style w:type="paragraph" w:styleId="29">
    <w:name w:val="List Continue 2"/>
    <w:basedOn w:val="1"/>
    <w:unhideWhenUsed/>
    <w:qFormat/>
    <w:uiPriority w:val="99"/>
    <w:pPr>
      <w:spacing w:after="120"/>
      <w:ind w:left="720"/>
      <w:contextualSpacing/>
    </w:pPr>
  </w:style>
  <w:style w:type="paragraph" w:styleId="30">
    <w:name w:val="List Continue 3"/>
    <w:basedOn w:val="1"/>
    <w:unhideWhenUsed/>
    <w:qFormat/>
    <w:uiPriority w:val="99"/>
    <w:pPr>
      <w:spacing w:after="120"/>
      <w:ind w:left="1080"/>
      <w:contextualSpacing/>
    </w:pPr>
  </w:style>
  <w:style w:type="paragraph" w:styleId="31">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3">
    <w:name w:val="Table Grid"/>
    <w:basedOn w:val="3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uiPriority w:val="99"/>
  </w:style>
  <w:style w:type="character" w:customStyle="1" w:styleId="136">
    <w:name w:val="Footer Char"/>
    <w:basedOn w:val="132"/>
    <w:link w:val="24"/>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32"/>
    <w:link w:val="4"/>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uiPriority w:val="99"/>
  </w:style>
  <w:style w:type="character" w:customStyle="1" w:styleId="145">
    <w:name w:val="Body Text 2 Char"/>
    <w:basedOn w:val="132"/>
    <w:link w:val="28"/>
    <w:qFormat/>
    <w:uiPriority w:val="99"/>
  </w:style>
  <w:style w:type="character" w:customStyle="1" w:styleId="146">
    <w:name w:val="Body Text 3 Char"/>
    <w:basedOn w:val="132"/>
    <w:link w:val="17"/>
    <w:qFormat/>
    <w:uiPriority w:val="99"/>
    <w:rPr>
      <w:sz w:val="16"/>
      <w:szCs w:val="16"/>
    </w:rPr>
  </w:style>
  <w:style w:type="character" w:customStyle="1" w:styleId="147">
    <w:name w:val="Macro Text Char"/>
    <w:basedOn w:val="132"/>
    <w:link w:val="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qFormat/>
    <w:uiPriority w:val="29"/>
    <w:rPr>
      <w:i/>
      <w:iCs/>
      <w:color w:val="000000" w:themeColor="text1"/>
      <w14:textFill>
        <w14:solidFill>
          <w14:schemeClr w14:val="tx1"/>
        </w14:solidFill>
      </w14:textFill>
    </w:rPr>
  </w:style>
  <w:style w:type="character" w:customStyle="1" w:styleId="150">
    <w:name w:val="Heading 4 Char"/>
    <w:basedOn w:val="132"/>
    <w:link w:val="6"/>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qFormat/>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 w:type="paragraph" w:customStyle="1" w:styleId="164">
    <w:name w:val="ReportTitle"/>
    <w:qFormat/>
    <w:uiPriority w:val="0"/>
    <w:pPr>
      <w:spacing w:before="0" w:after="0" w:line="276" w:lineRule="auto"/>
    </w:pPr>
    <w:rPr>
      <w:rFonts w:ascii="Arial" w:hAnsi="Arial" w:eastAsia="Noto Sans CJK SC" w:cstheme="minorBidi"/>
      <w:b/>
      <w:sz w:val="44"/>
      <w:szCs w:val="22"/>
      <w:lang w:val="en-US" w:eastAsia="en-US" w:bidi="ar-SA"/>
    </w:rPr>
  </w:style>
  <w:style w:type="paragraph" w:customStyle="1" w:styleId="165">
    <w:name w:val="H1C"/>
    <w:qFormat/>
    <w:uiPriority w:val="0"/>
    <w:pPr>
      <w:spacing w:before="160" w:after="100" w:line="276" w:lineRule="auto"/>
    </w:pPr>
    <w:rPr>
      <w:rFonts w:ascii="Arial" w:hAnsi="Arial" w:eastAsia="Noto Sans CJK SC" w:cstheme="minorBidi"/>
      <w:b/>
      <w:sz w:val="32"/>
      <w:szCs w:val="22"/>
      <w:lang w:val="en-US" w:eastAsia="en-US" w:bidi="ar-SA"/>
    </w:rPr>
  </w:style>
  <w:style w:type="paragraph" w:customStyle="1" w:styleId="166">
    <w:name w:val="H2C"/>
    <w:qFormat/>
    <w:uiPriority w:val="0"/>
    <w:pPr>
      <w:spacing w:before="160" w:after="100" w:line="276" w:lineRule="auto"/>
    </w:pPr>
    <w:rPr>
      <w:rFonts w:ascii="Arial" w:hAnsi="Arial" w:eastAsia="Noto Sans CJK SC" w:cstheme="minorBidi"/>
      <w:b/>
      <w:sz w:val="26"/>
      <w:szCs w:val="22"/>
      <w:lang w:val="en-US" w:eastAsia="en-US" w:bidi="ar-SA"/>
    </w:rPr>
  </w:style>
  <w:style w:type="paragraph" w:customStyle="1" w:styleId="167">
    <w:name w:val="CaptionC"/>
    <w:qFormat/>
    <w:uiPriority w:val="0"/>
    <w:pPr>
      <w:spacing w:before="0" w:after="0" w:line="240" w:lineRule="auto"/>
      <w:ind w:firstLine="0"/>
    </w:pPr>
    <w:rPr>
      <w:rFonts w:ascii="宋体" w:hAnsi="宋体" w:eastAsia="宋体" w:cstheme="minorBidi"/>
      <w:sz w:val="21"/>
      <w:szCs w:val="22"/>
      <w:lang w:val="en-US" w:eastAsia="en-US" w:bidi="ar-SA"/>
    </w:rPr>
  </w:style>
</w:styles>
</file>

<file path=word/_rels/document.xml.rels><?xml version="1.0" encoding="UTF-8" standalone="yes"?>
<Relationships xmlns="http://schemas.openxmlformats.org/package/2006/relationships"><Relationship Id="rId9" Type="http://schemas.openxmlformats.org/officeDocument/2006/relationships/image" Target="media/image2.png"/><Relationship Id="rId8" Type="http://schemas.openxmlformats.org/officeDocument/2006/relationships/image" Target="media/image1.png"/><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4" Type="http://schemas.openxmlformats.org/officeDocument/2006/relationships/fontTable" Target="fontTable.xml"/><Relationship Id="rId13" Type="http://schemas.openxmlformats.org/officeDocument/2006/relationships/customXml" Target="../customXml/item1.xml"/><Relationship Id="rId12" Type="http://schemas.openxmlformats.org/officeDocument/2006/relationships/numbering" Target="numbering.xml"/><Relationship Id="rId11" Type="http://schemas.openxmlformats.org/officeDocument/2006/relationships/image" Target="media/image4.png"/><Relationship Id="rId10" Type="http://schemas.openxmlformats.org/officeDocument/2006/relationships/image" Target="media/image3.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5</Pages>
  <Words>1619</Words>
  <Characters>1697</Characters>
  <Lines>0</Lines>
  <Paragraphs>0</Paragraphs>
  <TotalTime>0</TotalTime>
  <ScaleCrop>false</ScaleCrop>
  <LinksUpToDate>false</LinksUpToDate>
  <CharactersWithSpaces>1708</CharactersWithSpaces>
  <Application>WPS Office_12.1.0.28505_F1E327BC-269C-435d-A152-05C5408002CA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赵启涵</cp:lastModifiedBy>
  <dcterms:modified xsi:type="dcterms:W3CDTF">2026-09-12T02:29:37Z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eyJoZGlkIjoiMmRmZjg0ZDQ3ZGM3NmYxZmE5ZDZjMjVlNjY0ZjM1NDYiLCJ1c2VySWQiOiI4MjI4ODkzODYifQ==</vt:lpwstr>
  </property>
  <property fmtid="{D5CDD505-2E9C-101B-9397-08002B2CF9AE}" pid="3" name="KSOProductBuildVer">
    <vt:lpwstr>2052-12.1.0.28505</vt:lpwstr>
  </property>
  <property fmtid="{D5CDD505-2E9C-101B-9397-08002B2CF9AE}" pid="4" name="ICV">
    <vt:lpwstr>C9F9E3BA950E4F7BB3A6CC4ACA188723_12</vt:lpwstr>
  </property>
</Properties>
</file>