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2D2946">
      <w:pPr>
        <w:pStyle w:val="31"/>
        <w:jc w:val="center"/>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b/>
          <w:color w:val="000000" w:themeColor="text1"/>
          <w14:textFill>
            <w14:solidFill>
              <w14:schemeClr w14:val="tx1"/>
            </w14:solidFill>
          </w14:textFill>
        </w:rPr>
        <w:t>传感器与自动控制系统认识实习报告</w:t>
      </w:r>
    </w:p>
    <w:p w14:paraId="45867358">
      <w:pPr>
        <w:pStyle w:val="3"/>
        <w:jc w:val="left"/>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14:textFill>
            <w14:solidFill>
              <w14:schemeClr w14:val="tx1"/>
            </w14:solidFill>
          </w14:textFill>
        </w:rPr>
        <w:t>一、实习内容概述</w:t>
      </w:r>
    </w:p>
    <w:p w14:paraId="19AB9916">
      <w:pPr>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14:textFill>
            <w14:solidFill>
              <w14:schemeClr w14:val="tx1"/>
            </w14:solidFill>
          </w14:textFill>
        </w:rPr>
        <w:t>在8月31日机电一体化实验室的认识实习中，老师以自动化机械系统为对象，围绕“检测—比较—运算—执行—反馈”这一主线介绍了传感器与自动控制系统的基本组成及其相互关系。讲解从前面参观的MPS自动化生产线出发，提出工件是否到位、质量是否合格、材料是金属还是非金属、不同颜色如何分类等实际问题，再说明这些状态需要由传感器获得，并送入PLC或其他控制器进行判断，最后由电机、气动机构或加热装置等执行机构完成动作。</w:t>
      </w:r>
    </w:p>
    <w:p w14:paraId="0FCE59B0">
      <w:pPr>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14:textFill>
            <w14:solidFill>
              <w14:schemeClr w14:val="tx1"/>
            </w14:solidFill>
          </w14:textFill>
        </w:rPr>
        <w:t>通过这次实习，我认识到传感器的作用不仅是“测量”，更重要的是把机械系统中的温度、位置、位移、速度以及工件有无等现场信息转换成便于传输和处理的电信号。控制器依据这些反馈信号与设定值进行比较和运算，再输出控制信号，构成完整的自动控制系统。因此，传感器、控制器和执行机构并不是相互独立的器件，而是共同完成自动化任务的三个关键环节。</w:t>
      </w:r>
    </w:p>
    <w:p w14:paraId="25FBA5D7">
      <w:pPr>
        <w:pStyle w:val="3"/>
        <w:jc w:val="left"/>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14:textFill>
            <w14:solidFill>
              <w14:schemeClr w14:val="tx1"/>
            </w14:solidFill>
          </w14:textFill>
        </w:rPr>
        <w:t>二、自动控制系统的组成与工作过程</w:t>
      </w:r>
    </w:p>
    <w:p w14:paraId="1C332094">
      <w:pPr>
        <w:pStyle w:val="4"/>
        <w:jc w:val="left"/>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14:textFill>
            <w14:solidFill>
              <w14:schemeClr w14:val="tx1"/>
            </w14:solidFill>
          </w14:textFill>
        </w:rPr>
        <w:t>（一）检测、比较、运算与执行</w:t>
      </w:r>
    </w:p>
    <w:p w14:paraId="27EC690B">
      <w:pPr>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14:textFill>
            <w14:solidFill>
              <w14:schemeClr w14:val="tx1"/>
            </w14:solidFill>
          </w14:textFill>
        </w:rPr>
        <w:t>老师首先以温度控制为例说明自动控制系统的工作过程。假设希望设备温度保持在25℃附近，传感器检测到当前温度后，系统先将实际温度与设定温度进行比较。如果实际值位于允许范围内，控制器可以保持当前状态；如果偏差超过允许范围，就需要通过控制算法计算新的控制量。例如温度偏低时，可以增加加热丝的工作电流或延长加热时间；温度升高后再减小加热作用。这样，传感器不断测量实际状态，控制器不断修正输出，形成动态调节过程。</w:t>
      </w:r>
    </w:p>
    <w:p w14:paraId="7AE6FDA8">
      <w:pPr>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14:textFill>
            <w14:solidFill>
              <w14:schemeClr w14:val="tx1"/>
            </w14:solidFill>
          </w14:textFill>
        </w:rPr>
        <w:t>在工业现场，控制器可以采用PLC、工业计算机或单片机等硬件。老师重点介绍了PLC，指出PLC在工业自动化中应用广泛，主要负责逻辑判断、时序协调和控制输出。PLC本身只是硬件，必须通过软件编程才能按照预定逻辑工作，常用的一种编程方式是梯形图。对于需要连续调节的系统，还可以采用PID等控制算法；在单片机或嵌入式控制器中，控制算法通常需要通过C语言等程序语言实现。</w:t>
      </w:r>
    </w:p>
    <w:p w14:paraId="15955DC7">
      <w:pPr>
        <w:pStyle w:val="164"/>
        <w:shd w:val="clear" w:fill="F7F7F7"/>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14:textFill>
            <w14:solidFill>
              <w14:schemeClr w14:val="tx1"/>
            </w14:solidFill>
          </w14:textFill>
        </w:rPr>
        <w:t>根据资料查找，PID控制中的P、I、D分别对应比例、积分和微分环节：比例环节根据当前偏差产生控制作用，积分环节用于累积并消除长期存在的稳态偏差，微分环节则根据偏差变化趋势提供提前修正。实际工程中会根据被控对象特性选择合适的参数，并不一定三个环节同时采用。</w:t>
      </w:r>
    </w:p>
    <w:p w14:paraId="65203312">
      <w:pPr>
        <w:ind w:firstLine="0"/>
        <w:jc w:val="center"/>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14:textFill>
            <w14:solidFill>
              <w14:schemeClr w14:val="tx1"/>
            </w14:solidFill>
          </w14:textFill>
        </w:rPr>
        <w:drawing>
          <wp:inline distT="0" distB="0" distL="114300" distR="114300">
            <wp:extent cx="5471795" cy="1353185"/>
            <wp:effectExtent l="0" t="0" r="1905"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472000" cy="1353732"/>
                    </a:xfrm>
                    <a:prstGeom prst="rect">
                      <a:avLst/>
                    </a:prstGeom>
                  </pic:spPr>
                </pic:pic>
              </a:graphicData>
            </a:graphic>
          </wp:inline>
        </w:drawing>
      </w:r>
    </w:p>
    <w:p w14:paraId="3AF066EA">
      <w:pPr>
        <w:ind w:firstLine="0"/>
        <w:jc w:val="center"/>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sz w:val="20"/>
          <w14:textFill>
            <w14:solidFill>
              <w14:schemeClr w14:val="tx1"/>
            </w14:solidFill>
          </w14:textFill>
        </w:rPr>
        <w:t>图1  自动控制系统闭环关系示意图</w:t>
      </w:r>
    </w:p>
    <w:p w14:paraId="4BCE76DC">
      <w:pPr>
        <w:pStyle w:val="4"/>
        <w:jc w:val="left"/>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14:textFill>
            <w14:solidFill>
              <w14:schemeClr w14:val="tx1"/>
            </w14:solidFill>
          </w14:textFill>
        </w:rPr>
        <w:t>（二）执行机构与电气隔离</w:t>
      </w:r>
    </w:p>
    <w:p w14:paraId="76D6A8B9">
      <w:pPr>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14:textFill>
            <w14:solidFill>
              <w14:schemeClr w14:val="tx1"/>
            </w14:solidFill>
          </w14:textFill>
        </w:rPr>
        <w:t>控制器完成判断后，必须把控制量落实到执行机构。机械系统中常见的执行机构是电动机，可以控制机构的转速、位置和运动方向；在温度控制中，加热丝本身也可视为执行对象。由于PLC、单片机等控制部分通常属于弱电系统，而电机等负载可能工作在较大的电流条件下，老师又介绍了光电耦合器。光电耦合器利用发光器件和光敏器件之间的光信号传递实现输入、输出两侧的电气隔离，可以减少大电流侧对控制侧的直接影响，提高控制系统运行的安全性和可靠性。</w:t>
      </w:r>
    </w:p>
    <w:p w14:paraId="65D3AF4E">
      <w:pPr>
        <w:pStyle w:val="3"/>
        <w:jc w:val="left"/>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14:textFill>
            <w14:solidFill>
              <w14:schemeClr w14:val="tx1"/>
            </w14:solidFill>
          </w14:textFill>
        </w:rPr>
        <w:t>三、典型传感器及其检测原理</w:t>
      </w:r>
    </w:p>
    <w:p w14:paraId="3A4E5C39">
      <w:pPr>
        <w:pStyle w:val="4"/>
        <w:jc w:val="left"/>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14:textFill>
            <w14:solidFill>
              <w14:schemeClr w14:val="tx1"/>
            </w14:solidFill>
          </w14:textFill>
        </w:rPr>
        <w:t>（一）电容式传感器</w:t>
      </w:r>
    </w:p>
    <w:p w14:paraId="539F6084">
      <w:pPr>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14:textFill>
            <w14:solidFill>
              <w14:schemeClr w14:val="tx1"/>
            </w14:solidFill>
          </w14:textFill>
        </w:rPr>
        <w:t>现场展示的工业传感器常采用三线制连接，即两根供电线和一根信号线。老师介绍的电容式传感器可以用于检测工件有无和近距离位置变化，而且既可感知金属，也可感知非金属。因此在自动化生产线上，可以把它布置在工位附近，通过判断传感器是否产生输出，确认工件是否到达指定位置。现场讲解还提到此类近距离传感器的有效检测距离较短，安装时需要合理控制传感器与工件之间的间隙。</w:t>
      </w:r>
    </w:p>
    <w:p w14:paraId="7605B62A">
      <w:pPr>
        <w:pStyle w:val="164"/>
        <w:shd w:val="clear" w:fill="F7F7F7"/>
        <w:rPr>
          <w:rFonts w:hint="eastAsia" w:ascii="宋体" w:hAnsi="宋体" w:eastAsia="宋体" w:cs="宋体"/>
          <w:color w:val="000000" w:themeColor="text1"/>
          <w14:textFill>
            <w14:solidFill>
              <w14:schemeClr w14:val="tx1"/>
            </w14:solidFill>
          </w14:textFill>
        </w:rPr>
      </w:pPr>
      <w:bookmarkStart w:id="0" w:name="_GoBack"/>
      <w:bookmarkEnd w:id="0"/>
      <w:r>
        <w:rPr>
          <w:rFonts w:hint="eastAsia" w:ascii="宋体" w:hAnsi="宋体" w:eastAsia="宋体" w:cs="宋体"/>
          <w:color w:val="000000" w:themeColor="text1"/>
          <w14:textFill>
            <w14:solidFill>
              <w14:schemeClr w14:val="tx1"/>
            </w14:solidFill>
          </w14:textFill>
        </w:rPr>
        <w:t>根据资料查找，电容式接近传感器通过检测目标进入感应区域后所引起的电容量变化来判断目标是否存在。与只对金属敏感的电感式传感器相比，电容式传感器还可以检测塑料、玻璃、木材、液体和粉料等非金属介质，因此常被用于包装、料位和非金属工件检测。</w:t>
      </w:r>
    </w:p>
    <w:p w14:paraId="3102EC95">
      <w:pPr>
        <w:pStyle w:val="4"/>
        <w:jc w:val="left"/>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14:textFill>
            <w14:solidFill>
              <w14:schemeClr w14:val="tx1"/>
            </w14:solidFill>
          </w14:textFill>
        </w:rPr>
        <w:t>（二）电感式、光电式与超声波传感器</w:t>
      </w:r>
    </w:p>
    <w:p w14:paraId="047AFEA6">
      <w:pPr>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14:textFill>
            <w14:solidFill>
              <w14:schemeClr w14:val="tx1"/>
            </w14:solidFill>
          </w14:textFill>
        </w:rPr>
        <w:t>电感式传感器主要用于金属目标检测，金属靠近感应面后会改变传感器内部电磁状态，从而形成开关或连续输出。在MPS生产线中，可利用它判断工件是否为金属。光电传感器包括对射式和漫反射式：对射式适合检测工件到位或通过，漫反射式可依据反射光强差异辅助判断距离或颜色。超声波传感器则通过测量声波往返时间计算距离，使用时应避开近距离的非线性区域。</w:t>
      </w:r>
    </w:p>
    <w:p w14:paraId="01E92E36">
      <w:pPr>
        <w:pStyle w:val="4"/>
        <w:jc w:val="left"/>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14:textFill>
            <w14:solidFill>
              <w14:schemeClr w14:val="tx1"/>
            </w14:solidFill>
          </w14:textFill>
        </w:rPr>
        <w:t>（三）AD590与应变片传感器</w:t>
      </w:r>
    </w:p>
    <w:p w14:paraId="125CD62A">
      <w:pPr>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14:textFill>
            <w14:solidFill>
              <w14:schemeClr w14:val="tx1"/>
            </w14:solidFill>
          </w14:textFill>
        </w:rPr>
        <w:t>老师以AD590说明温度信号的转换过程：传感器输出随温度变化的电流，经电流—电压转换后可送入控制器。应变片则把悬臂梁受力产生的微小变形转换为电阻变化，再通过电桥得到微弱电压信号。根据资料查找，AD590输出电流与绝对温度近似成正比，便于进行线性温度测量。</w:t>
      </w:r>
    </w:p>
    <w:p w14:paraId="2970C440">
      <w:pPr>
        <w:pStyle w:val="3"/>
        <w:jc w:val="left"/>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14:textFill>
            <w14:solidFill>
              <w14:schemeClr w14:val="tx1"/>
            </w14:solidFill>
          </w14:textFill>
        </w:rPr>
        <w:t>四、信号调理与工业标准信号</w:t>
      </w:r>
    </w:p>
    <w:p w14:paraId="23FB74A0">
      <w:pPr>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14:textFill>
            <w14:solidFill>
              <w14:schemeClr w14:val="tx1"/>
            </w14:solidFill>
          </w14:textFill>
        </w:rPr>
        <w:t>应变片等敏感元件的原始输出往往很弱，不能直接用于远距离传输，因此需要电桥、运算放大器等电路完成转换与放大。老师还介绍了0～5V、0～10V和4～20mA等工业常用信号，它们便于与PLC或采集设备连接。其中4～20mA电流信号适合较远距离传输，也便于识别断线等异常状态。</w:t>
      </w:r>
    </w:p>
    <w:p w14:paraId="726DEF65">
      <w:pPr>
        <w:ind w:firstLine="0"/>
        <w:jc w:val="center"/>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14:textFill>
            <w14:solidFill>
              <w14:schemeClr w14:val="tx1"/>
            </w14:solidFill>
          </w14:textFill>
        </w:rPr>
        <w:drawing>
          <wp:inline distT="0" distB="0" distL="114300" distR="114300">
            <wp:extent cx="5327650" cy="1127760"/>
            <wp:effectExtent l="0" t="0" r="635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328000" cy="1128253"/>
                    </a:xfrm>
                    <a:prstGeom prst="rect">
                      <a:avLst/>
                    </a:prstGeom>
                  </pic:spPr>
                </pic:pic>
              </a:graphicData>
            </a:graphic>
          </wp:inline>
        </w:drawing>
      </w:r>
    </w:p>
    <w:p w14:paraId="2417B496">
      <w:pPr>
        <w:ind w:firstLine="0"/>
        <w:jc w:val="center"/>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sz w:val="20"/>
          <w14:textFill>
            <w14:solidFill>
              <w14:schemeClr w14:val="tx1"/>
            </w14:solidFill>
          </w14:textFill>
        </w:rPr>
        <w:t>图2  应变测量与信号调理过程示意图</w:t>
      </w:r>
    </w:p>
    <w:p w14:paraId="5EA4DCFC">
      <w:pPr>
        <w:pStyle w:val="3"/>
        <w:jc w:val="left"/>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14:textFill>
            <w14:solidFill>
              <w14:schemeClr w14:val="tx1"/>
            </w14:solidFill>
          </w14:textFill>
        </w:rPr>
        <w:t>五、电机反馈与MPS生产线应用</w:t>
      </w:r>
    </w:p>
    <w:p w14:paraId="71D69ECF">
      <w:pPr>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14:textFill>
            <w14:solidFill>
              <w14:schemeClr w14:val="tx1"/>
            </w14:solidFill>
          </w14:textFill>
        </w:rPr>
        <w:t>在运动控制中，系统还需要获得电机当前位置和速度。精度要求不高时可采用霍尔传感器，高精度场合可使用光电编码器或光栅尺，通过脉冲或位移信号形成位置、速度反馈。MPS生产线中，上料、检测、加工、装配和分拣各工位都依赖传感器确认工件状态，再由PLC决定下一步动作，从而形成“检测—判断—执行—再检测”的循环。</w:t>
      </w:r>
    </w:p>
    <w:p w14:paraId="5AEEF354">
      <w:pPr>
        <w:ind w:firstLine="0"/>
        <w:jc w:val="center"/>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14:textFill>
            <w14:solidFill>
              <w14:schemeClr w14:val="tx1"/>
            </w14:solidFill>
          </w14:textFill>
        </w:rPr>
        <w:drawing>
          <wp:inline distT="0" distB="0" distL="114300" distR="114300">
            <wp:extent cx="5615940" cy="1722120"/>
            <wp:effectExtent l="0" t="0" r="1016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616000" cy="1722658"/>
                    </a:xfrm>
                    <a:prstGeom prst="rect">
                      <a:avLst/>
                    </a:prstGeom>
                  </pic:spPr>
                </pic:pic>
              </a:graphicData>
            </a:graphic>
          </wp:inline>
        </w:drawing>
      </w:r>
    </w:p>
    <w:p w14:paraId="3A0DB01F">
      <w:pPr>
        <w:ind w:firstLine="0"/>
        <w:jc w:val="center"/>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sz w:val="20"/>
          <w14:textFill>
            <w14:solidFill>
              <w14:schemeClr w14:val="tx1"/>
            </w14:solidFill>
          </w14:textFill>
        </w:rPr>
        <w:t>图3  MPS生产线中的典型传感器应用流程图</w:t>
      </w:r>
    </w:p>
    <w:p w14:paraId="526D49D3">
      <w:pPr>
        <w:ind w:firstLine="0"/>
        <w:jc w:val="center"/>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14:textFill>
            <w14:solidFill>
              <w14:schemeClr w14:val="tx1"/>
            </w14:solidFill>
          </w14:textFill>
        </w:rPr>
        <w:t>表1  MPS现场典型检测任务归纳</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59"/>
        <w:gridCol w:w="3059"/>
        <w:gridCol w:w="3059"/>
      </w:tblGrid>
      <w:tr w14:paraId="1DD7E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9" w:type="dxa"/>
            <w:vAlign w:val="center"/>
          </w:tcPr>
          <w:p w14:paraId="51A8398C">
            <w:pPr>
              <w:ind w:firstLine="0"/>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b/>
                <w:color w:val="000000" w:themeColor="text1"/>
                <w:sz w:val="20"/>
                <w14:textFill>
                  <w14:solidFill>
                    <w14:schemeClr w14:val="tx1"/>
                  </w14:solidFill>
                </w14:textFill>
              </w:rPr>
              <w:t>检测任务</w:t>
            </w:r>
          </w:p>
        </w:tc>
        <w:tc>
          <w:tcPr>
            <w:tcW w:w="3059" w:type="dxa"/>
            <w:vAlign w:val="center"/>
          </w:tcPr>
          <w:p w14:paraId="3EC8CE59">
            <w:pPr>
              <w:ind w:firstLine="0"/>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b/>
                <w:color w:val="000000" w:themeColor="text1"/>
                <w:sz w:val="20"/>
                <w14:textFill>
                  <w14:solidFill>
                    <w14:schemeClr w14:val="tx1"/>
                  </w14:solidFill>
                </w14:textFill>
              </w:rPr>
              <w:t>主要检测方式</w:t>
            </w:r>
          </w:p>
        </w:tc>
        <w:tc>
          <w:tcPr>
            <w:tcW w:w="3059" w:type="dxa"/>
            <w:vAlign w:val="center"/>
          </w:tcPr>
          <w:p w14:paraId="038690D3">
            <w:pPr>
              <w:ind w:firstLine="0"/>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b/>
                <w:color w:val="000000" w:themeColor="text1"/>
                <w:sz w:val="20"/>
                <w14:textFill>
                  <w14:solidFill>
                    <w14:schemeClr w14:val="tx1"/>
                  </w14:solidFill>
                </w14:textFill>
              </w:rPr>
              <w:t>作用</w:t>
            </w:r>
          </w:p>
        </w:tc>
      </w:tr>
      <w:tr w14:paraId="0C00B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9" w:type="dxa"/>
            <w:vAlign w:val="center"/>
          </w:tcPr>
          <w:p w14:paraId="67453C6B">
            <w:pPr>
              <w:spacing w:line="276" w:lineRule="auto"/>
              <w:ind w:firstLine="0"/>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sz w:val="20"/>
                <w14:textFill>
                  <w14:solidFill>
                    <w14:schemeClr w14:val="tx1"/>
                  </w14:solidFill>
                </w14:textFill>
              </w:rPr>
              <w:t>工件到位</w:t>
            </w:r>
          </w:p>
        </w:tc>
        <w:tc>
          <w:tcPr>
            <w:tcW w:w="3059" w:type="dxa"/>
            <w:vAlign w:val="center"/>
          </w:tcPr>
          <w:p w14:paraId="498C2386">
            <w:pPr>
              <w:spacing w:line="276" w:lineRule="auto"/>
              <w:ind w:firstLine="0"/>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sz w:val="20"/>
                <w14:textFill>
                  <w14:solidFill>
                    <w14:schemeClr w14:val="tx1"/>
                  </w14:solidFill>
                </w14:textFill>
              </w:rPr>
              <w:t>红外/光电对射</w:t>
            </w:r>
          </w:p>
        </w:tc>
        <w:tc>
          <w:tcPr>
            <w:tcW w:w="3059" w:type="dxa"/>
            <w:vAlign w:val="center"/>
          </w:tcPr>
          <w:p w14:paraId="33CDA5B1">
            <w:pPr>
              <w:spacing w:line="276" w:lineRule="auto"/>
              <w:ind w:firstLine="0"/>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sz w:val="20"/>
                <w14:textFill>
                  <w14:solidFill>
                    <w14:schemeClr w14:val="tx1"/>
                  </w14:solidFill>
                </w14:textFill>
              </w:rPr>
              <w:t>触发下一工序</w:t>
            </w:r>
          </w:p>
        </w:tc>
      </w:tr>
      <w:tr w14:paraId="2D7E7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9" w:type="dxa"/>
            <w:vAlign w:val="center"/>
          </w:tcPr>
          <w:p w14:paraId="71D018DC">
            <w:pPr>
              <w:spacing w:line="276" w:lineRule="auto"/>
              <w:ind w:firstLine="0"/>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sz w:val="20"/>
                <w14:textFill>
                  <w14:solidFill>
                    <w14:schemeClr w14:val="tx1"/>
                  </w14:solidFill>
                </w14:textFill>
              </w:rPr>
              <w:t>金属识别</w:t>
            </w:r>
          </w:p>
        </w:tc>
        <w:tc>
          <w:tcPr>
            <w:tcW w:w="3059" w:type="dxa"/>
            <w:vAlign w:val="center"/>
          </w:tcPr>
          <w:p w14:paraId="621A053C">
            <w:pPr>
              <w:spacing w:line="276" w:lineRule="auto"/>
              <w:ind w:firstLine="0"/>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sz w:val="20"/>
                <w14:textFill>
                  <w14:solidFill>
                    <w14:schemeClr w14:val="tx1"/>
                  </w14:solidFill>
                </w14:textFill>
              </w:rPr>
              <w:t>电感式</w:t>
            </w:r>
          </w:p>
        </w:tc>
        <w:tc>
          <w:tcPr>
            <w:tcW w:w="3059" w:type="dxa"/>
            <w:vAlign w:val="center"/>
          </w:tcPr>
          <w:p w14:paraId="56C8A10D">
            <w:pPr>
              <w:spacing w:line="276" w:lineRule="auto"/>
              <w:ind w:firstLine="0"/>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sz w:val="20"/>
                <w14:textFill>
                  <w14:solidFill>
                    <w14:schemeClr w14:val="tx1"/>
                  </w14:solidFill>
                </w14:textFill>
              </w:rPr>
              <w:t>材料分类</w:t>
            </w:r>
          </w:p>
        </w:tc>
      </w:tr>
      <w:tr w14:paraId="7D4C5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9" w:type="dxa"/>
            <w:vAlign w:val="center"/>
          </w:tcPr>
          <w:p w14:paraId="5CC9E386">
            <w:pPr>
              <w:spacing w:line="276" w:lineRule="auto"/>
              <w:ind w:firstLine="0"/>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sz w:val="20"/>
                <w14:textFill>
                  <w14:solidFill>
                    <w14:schemeClr w14:val="tx1"/>
                  </w14:solidFill>
                </w14:textFill>
              </w:rPr>
              <w:t>颜色识别</w:t>
            </w:r>
          </w:p>
        </w:tc>
        <w:tc>
          <w:tcPr>
            <w:tcW w:w="3059" w:type="dxa"/>
            <w:vAlign w:val="center"/>
          </w:tcPr>
          <w:p w14:paraId="301900A4">
            <w:pPr>
              <w:spacing w:line="276" w:lineRule="auto"/>
              <w:ind w:firstLine="0"/>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sz w:val="20"/>
                <w14:textFill>
                  <w14:solidFill>
                    <w14:schemeClr w14:val="tx1"/>
                  </w14:solidFill>
                </w14:textFill>
              </w:rPr>
              <w:t>光电漫反射</w:t>
            </w:r>
          </w:p>
        </w:tc>
        <w:tc>
          <w:tcPr>
            <w:tcW w:w="3059" w:type="dxa"/>
            <w:vAlign w:val="center"/>
          </w:tcPr>
          <w:p w14:paraId="6BE1B64E">
            <w:pPr>
              <w:spacing w:line="276" w:lineRule="auto"/>
              <w:ind w:firstLine="0"/>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sz w:val="20"/>
                <w14:textFill>
                  <w14:solidFill>
                    <w14:schemeClr w14:val="tx1"/>
                  </w14:solidFill>
                </w14:textFill>
              </w:rPr>
              <w:t>辅助分拣</w:t>
            </w:r>
          </w:p>
        </w:tc>
      </w:tr>
      <w:tr w14:paraId="165B4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9" w:type="dxa"/>
            <w:vAlign w:val="center"/>
          </w:tcPr>
          <w:p w14:paraId="37E09D88">
            <w:pPr>
              <w:spacing w:line="276" w:lineRule="auto"/>
              <w:ind w:firstLine="0"/>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sz w:val="20"/>
                <w14:textFill>
                  <w14:solidFill>
                    <w14:schemeClr w14:val="tx1"/>
                  </w14:solidFill>
                </w14:textFill>
              </w:rPr>
              <w:t>温度</w:t>
            </w:r>
          </w:p>
        </w:tc>
        <w:tc>
          <w:tcPr>
            <w:tcW w:w="3059" w:type="dxa"/>
            <w:vAlign w:val="center"/>
          </w:tcPr>
          <w:p w14:paraId="6BCE48EF">
            <w:pPr>
              <w:spacing w:line="276" w:lineRule="auto"/>
              <w:ind w:firstLine="0"/>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sz w:val="20"/>
                <w14:textFill>
                  <w14:solidFill>
                    <w14:schemeClr w14:val="tx1"/>
                  </w14:solidFill>
                </w14:textFill>
              </w:rPr>
              <w:t>AD590/热电偶</w:t>
            </w:r>
          </w:p>
        </w:tc>
        <w:tc>
          <w:tcPr>
            <w:tcW w:w="3059" w:type="dxa"/>
            <w:vAlign w:val="center"/>
          </w:tcPr>
          <w:p w14:paraId="0785CC3B">
            <w:pPr>
              <w:spacing w:line="276" w:lineRule="auto"/>
              <w:ind w:firstLine="0"/>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sz w:val="20"/>
                <w14:textFill>
                  <w14:solidFill>
                    <w14:schemeClr w14:val="tx1"/>
                  </w14:solidFill>
                </w14:textFill>
              </w:rPr>
              <w:t>温度反馈</w:t>
            </w:r>
          </w:p>
        </w:tc>
      </w:tr>
      <w:tr w14:paraId="77233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9" w:type="dxa"/>
            <w:vAlign w:val="center"/>
          </w:tcPr>
          <w:p w14:paraId="61F5533F">
            <w:pPr>
              <w:spacing w:line="276" w:lineRule="auto"/>
              <w:ind w:firstLine="0"/>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sz w:val="20"/>
                <w14:textFill>
                  <w14:solidFill>
                    <w14:schemeClr w14:val="tx1"/>
                  </w14:solidFill>
                </w14:textFill>
              </w:rPr>
              <w:t>位置与速度</w:t>
            </w:r>
          </w:p>
        </w:tc>
        <w:tc>
          <w:tcPr>
            <w:tcW w:w="3059" w:type="dxa"/>
            <w:vAlign w:val="center"/>
          </w:tcPr>
          <w:p w14:paraId="652DF71F">
            <w:pPr>
              <w:spacing w:line="276" w:lineRule="auto"/>
              <w:ind w:firstLine="0"/>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sz w:val="20"/>
                <w14:textFill>
                  <w14:solidFill>
                    <w14:schemeClr w14:val="tx1"/>
                  </w14:solidFill>
                </w14:textFill>
              </w:rPr>
              <w:t>编码器/光栅尺</w:t>
            </w:r>
          </w:p>
        </w:tc>
        <w:tc>
          <w:tcPr>
            <w:tcW w:w="3059" w:type="dxa"/>
            <w:vAlign w:val="center"/>
          </w:tcPr>
          <w:p w14:paraId="753D9E2B">
            <w:pPr>
              <w:spacing w:line="276" w:lineRule="auto"/>
              <w:ind w:firstLine="0"/>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sz w:val="20"/>
                <w14:textFill>
                  <w14:solidFill>
                    <w14:schemeClr w14:val="tx1"/>
                  </w14:solidFill>
                </w14:textFill>
              </w:rPr>
              <w:t>运动闭环</w:t>
            </w:r>
          </w:p>
        </w:tc>
      </w:tr>
    </w:tbl>
    <w:p w14:paraId="55960F5D">
      <w:pPr>
        <w:pStyle w:val="3"/>
        <w:jc w:val="left"/>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14:textFill>
            <w14:solidFill>
              <w14:schemeClr w14:val="tx1"/>
            </w14:solidFill>
          </w14:textFill>
        </w:rPr>
        <w:t>六、实习认识与体会</w:t>
      </w:r>
    </w:p>
    <w:p w14:paraId="204E6869">
      <w:pPr>
        <w:rPr>
          <w:rFonts w:hint="eastAsia" w:ascii="宋体" w:hAnsi="宋体" w:eastAsia="宋体" w:cs="宋体"/>
          <w:color w:val="000000" w:themeColor="text1"/>
          <w14:textFill>
            <w14:solidFill>
              <w14:schemeClr w14:val="tx1"/>
            </w14:solidFill>
          </w14:textFill>
        </w:rPr>
      </w:pPr>
      <w:r>
        <w:rPr>
          <w:rFonts w:hint="eastAsia" w:ascii="宋体" w:hAnsi="宋体" w:eastAsia="宋体" w:cs="宋体"/>
          <w:color w:val="000000" w:themeColor="text1"/>
          <w14:textFill>
            <w14:solidFill>
              <w14:schemeClr w14:val="tx1"/>
            </w14:solidFill>
          </w14:textFill>
        </w:rPr>
        <w:t>通过本次实习，我认识到传感器、控制器和执行机构必须作为一个整体理解。传感器把现场状态转换为电信号，PLC根据反馈与设定值进行逻辑判断或控制运算，执行机构再完成相应动作。MPS中的到位检测、材料识别和自动分拣，使我直观看到了传感器原理与机械动作之间的联系。与此同时，应变片信号需要电桥和运放处理、温度信号需要转换、电机位置需要反馈，也说明实际自动化系统涉及机械、电子、检测与控制等多方面知识，为后续专业课程学习建立了较清晰的工程认识。</w:t>
      </w:r>
    </w:p>
    <w:sectPr>
      <w:footerReference r:id="rId5" w:type="default"/>
      <w:pgSz w:w="12240" w:h="15840"/>
      <w:pgMar w:top="1417" w:right="1531" w:bottom="1417" w:left="1531" w:header="680" w:footer="68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仓耳渔阳体 W03"/>
    <w:panose1 w:val="00000000000000000000"/>
    <w:charset w:val="80"/>
    <w:family w:val="roman"/>
    <w:pitch w:val="default"/>
    <w:sig w:usb0="00000000" w:usb1="00000000" w:usb2="00000010" w:usb3="00000000" w:csb0="00020000" w:csb1="00000000"/>
  </w:font>
  <w:font w:name="仓耳渔阳体 W03">
    <w:panose1 w:val="02020400000000000000"/>
    <w:charset w:val="80"/>
    <w:family w:val="auto"/>
    <w:pitch w:val="default"/>
    <w:sig w:usb0="80000023" w:usb1="08C10458" w:usb2="00000012" w:usb3="00000000" w:csb0="00020001" w:csb1="00000000"/>
  </w:font>
  <w:font w:name="ＭＳ 明朝">
    <w:altName w:val="宋体"/>
    <w:panose1 w:val="00000000000000000000"/>
    <w:charset w:val="86"/>
    <w:family w:val="auto"/>
    <w:pitch w:val="default"/>
    <w:sig w:usb0="00000000" w:usb1="00000000" w:usb2="00000000" w:usb3="00000000" w:csb0="00000000" w:csb1="00000000"/>
  </w:font>
  <w:font w:name="Noto Serif CJK SC">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FFont-Family"/>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D96D94">
    <w:pPr>
      <w:pStyle w:val="24"/>
      <w:ind w:firstLine="0"/>
      <w:jc w:val="center"/>
    </w:pPr>
    <w:r>
      <w:rPr>
        <w:rFonts w:ascii="Noto Serif CJK SC" w:hAnsi="Noto Serif CJK SC" w:eastAsia="Noto Serif CJK SC"/>
        <w:sz w:val="18"/>
      </w:rPr>
      <w:t xml:space="preserve">第 </w:t>
    </w:r>
    <w:r>
      <w:rPr>
        <w:rFonts w:ascii="Noto Serif CJK SC" w:hAnsi="Noto Serif CJK SC" w:eastAsia="Noto Serif CJK SC"/>
        <w:sz w:val="18"/>
      </w:rPr>
      <w:fldChar w:fldCharType="begin"/>
    </w:r>
    <w:r>
      <w:rPr>
        <w:rFonts w:ascii="Noto Serif CJK SC" w:hAnsi="Noto Serif CJK SC" w:eastAsia="Noto Serif CJK SC"/>
        <w:sz w:val="18"/>
      </w:rPr>
      <w:instrText xml:space="preserve"> PAGE </w:instrText>
    </w:r>
    <w:r>
      <w:rPr>
        <w:rFonts w:ascii="Noto Serif CJK SC" w:hAnsi="Noto Serif CJK SC" w:eastAsia="Noto Serif CJK SC"/>
        <w:sz w:val="18"/>
      </w:rPr>
      <w:fldChar w:fldCharType="end"/>
    </w:r>
    <w:r>
      <w:rPr>
        <w:rFonts w:ascii="Noto Serif CJK SC" w:hAnsi="Noto Serif CJK SC" w:eastAsia="Noto Serif CJK SC"/>
        <w:sz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A9D42B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unhideWhenUsed="0" w:uiPriority="71" w:semiHidden="0" w:name="Colorful Shading Accent 4"/>
    <w:lsdException w:qFormat="1"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360" w:lineRule="auto"/>
      <w:ind w:firstLine="476"/>
      <w:jc w:val="both"/>
    </w:pPr>
    <w:rPr>
      <w:rFonts w:ascii="Noto Serif CJK SC" w:hAnsi="Noto Serif CJK SC" w:eastAsia="Noto Serif CJK SC" w:cstheme="minorBidi"/>
      <w:sz w:val="24"/>
      <w:szCs w:val="22"/>
      <w:lang w:val="en-US" w:eastAsia="en-US" w:bidi="ar-SA"/>
    </w:rPr>
  </w:style>
  <w:style w:type="paragraph" w:styleId="3">
    <w:name w:val="heading 1"/>
    <w:basedOn w:val="1"/>
    <w:next w:val="1"/>
    <w:link w:val="138"/>
    <w:qFormat/>
    <w:uiPriority w:val="9"/>
    <w:pPr>
      <w:keepNext/>
      <w:keepLines/>
      <w:spacing w:before="200" w:after="120"/>
      <w:ind w:firstLine="0"/>
      <w:outlineLvl w:val="0"/>
    </w:pPr>
    <w:rPr>
      <w:rFonts w:asciiTheme="majorHAnsi" w:hAnsiTheme="majorHAnsi" w:eastAsiaTheme="majorEastAsia" w:cstheme="majorBidi"/>
      <w:b/>
      <w:bCs/>
      <w:color w:val="376092" w:themeColor="accent1" w:themeShade="BF"/>
      <w:sz w:val="30"/>
      <w:szCs w:val="28"/>
    </w:rPr>
  </w:style>
  <w:style w:type="paragraph" w:styleId="4">
    <w:name w:val="heading 2"/>
    <w:basedOn w:val="1"/>
    <w:next w:val="1"/>
    <w:link w:val="139"/>
    <w:unhideWhenUsed/>
    <w:qFormat/>
    <w:uiPriority w:val="9"/>
    <w:pPr>
      <w:keepNext/>
      <w:keepLines/>
      <w:spacing w:before="120" w:after="60"/>
      <w:ind w:firstLine="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b/>
      <w:color w:val="17375E" w:themeColor="text2" w:themeShade="BF"/>
      <w:spacing w:val="5"/>
      <w:kern w:val="28"/>
      <w:sz w:val="36"/>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paragraph" w:customStyle="1" w:styleId="164">
    <w:name w:val="Expansion"/>
    <w:qFormat/>
    <w:uiPriority w:val="0"/>
    <w:pPr>
      <w:spacing w:before="60" w:after="60" w:line="336" w:lineRule="auto"/>
      <w:ind w:left="227" w:right="113" w:firstLine="476"/>
    </w:pPr>
    <w:rPr>
      <w:rFonts w:ascii="Noto Serif CJK SC" w:hAnsi="Noto Serif CJK SC" w:eastAsia="Noto Serif CJK SC" w:cstheme="minorBidi"/>
      <w:i/>
      <w:sz w:val="23"/>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Pages>
  <Words>2404</Words>
  <Characters>2468</Characters>
  <Lines>0</Lines>
  <Paragraphs>0</Paragraphs>
  <TotalTime>0</TotalTime>
  <ScaleCrop>false</ScaleCrop>
  <LinksUpToDate>false</LinksUpToDate>
  <CharactersWithSpaces>2476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赵启涵</cp:lastModifiedBy>
  <dcterms:modified xsi:type="dcterms:W3CDTF">2026-09-12T02:29:33Z</dcterms:modified>
  <dc:title>传感器与自动控制系统认识实习报告（3000字内精简版）</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eyJoZGlkIjoiMmRmZjg0ZDQ3ZGM3NmYxZmE5ZDZjMjVlNjY0ZjM1NDYiLCJ1c2VySWQiOiI4MjI4ODkzODYifQ==</vt:lpwstr>
  </property>
  <property fmtid="{D5CDD505-2E9C-101B-9397-08002B2CF9AE}" pid="3" name="KSOProductBuildVer">
    <vt:lpwstr>2052-12.1.0.28505</vt:lpwstr>
  </property>
  <property fmtid="{D5CDD505-2E9C-101B-9397-08002B2CF9AE}" pid="4" name="ICV">
    <vt:lpwstr>0F13DDF565E14D6284AE6D0FD88D551F_12</vt:lpwstr>
  </property>
</Properties>
</file>