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B1CD4">
      <w:pPr>
        <w:jc w:val="center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2"/>
        </w:rPr>
        <w:t>9.2 数控加工中心认识实习报告（手写版）</w:t>
      </w:r>
    </w:p>
    <w:p w14:paraId="7F81B2A1">
      <w:pPr>
        <w:pStyle w:val="3"/>
        <w:rPr>
          <w:color w:val="auto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一</w:t>
      </w:r>
      <w:r>
        <w:rPr>
          <w:rFonts w:ascii="Noto Serif CJK SC" w:hAnsi="Noto Serif CJK SC" w:eastAsia="Noto Serif CJK SC"/>
          <w:color w:val="auto"/>
        </w:rPr>
        <w:t>、主要特点与基本组成</w:t>
      </w:r>
    </w:p>
    <w:p w14:paraId="69EEFD1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数控加工中心由床身、工作台、主轴系统、X/Y/Z 三轴进给系统、刀库与换刀机构、数控及 PLC 控制系统，还有冷却、排屑等辅助系统构成。床身为整机基座，保障刚性；工作台装夹工件；主轴驱动刀具旋转；三轴进给控制刀具与工件相对位置；刀库存储刀具并实现自动换刀；冷却排屑系统完成降温、清理切屑，各部件由控制系统协同完成加工。</w:t>
      </w:r>
    </w:p>
    <w:p w14:paraId="3CEB858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对比普通机床，它自动化、安全性更强。工件一次装夹，规避多次找正误差；自动换刀缩短工序等待，数控程序可连续加工。机床配有安全门、限位与状态检测装置。主轴转速、三轴快移速度等参数体现加工能力，实际加工需结合负载与工艺合理选用。</w:t>
      </w:r>
    </w:p>
    <w:p w14:paraId="29DCE4EF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27650" cy="229044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EA7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图1 数控加工中心总体结构简图</w:t>
      </w:r>
    </w:p>
    <w:p w14:paraId="3E0F9AE8">
      <w:pPr>
        <w:pStyle w:val="3"/>
        <w:rPr>
          <w:color w:val="auto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二</w:t>
      </w:r>
      <w:r>
        <w:rPr>
          <w:rFonts w:ascii="Noto Serif CJK SC" w:hAnsi="Noto Serif CJK SC" w:eastAsia="Noto Serif CJK SC"/>
          <w:color w:val="auto"/>
        </w:rPr>
        <w:t>、主轴、三轴进给与自动换刀</w:t>
      </w:r>
    </w:p>
    <w:p w14:paraId="079596E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轴运动是加工中心主运动。课堂上借助主轴转速、功率与转矩曲线可知，电机输出能力随转速变化：低速看重转矩，高速关注功率。加工不宜一味选用最高转速，需依据工件材料、刀具直径与工序匹配主轴参数。</w:t>
      </w:r>
    </w:p>
    <w:p w14:paraId="12EE306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X/Y/Z三轴进给由交流伺服电机驱动。电机旋转经联轴器、丝杠螺母副转为直线运动，传动链：伺服电机→联轴器→丝杠→螺母副→工作台/滑板。数控系统下发位置、速度指令，电机驱动丝杠，带动部件沿轴精准移动，完成进给、定位与轮廓加工。</w:t>
      </w:r>
    </w:p>
    <w:p w14:paraId="62707C27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99405" cy="1403985"/>
            <wp:effectExtent l="0" t="0" r="1079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975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图2 三轴进给传动链简图</w:t>
      </w:r>
    </w:p>
    <w:p w14:paraId="77B15D8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自动换刀是加工中心提效关键。设备采用圆盘刀库，控制系统按程序调用刀具，双向就近转位缩短换刀时长。换刀流程含主轴停转、刀位确认、刀库转位、换刀机构动作、装刀与到位校验。所有动作需传感器信号达标才可继续，自动换刀是机械动作与顺序控制的结合。</w:t>
      </w:r>
    </w:p>
    <w:p w14:paraId="380EDC33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99405" cy="151193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5868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图3 自动换刀顺序简图</w:t>
      </w:r>
    </w:p>
    <w:p w14:paraId="0B21F080">
      <w:pPr>
        <w:pStyle w:val="3"/>
        <w:rPr>
          <w:color w:val="auto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三</w:t>
      </w:r>
      <w:r>
        <w:rPr>
          <w:rFonts w:ascii="Noto Serif CJK SC" w:hAnsi="Noto Serif CJK SC" w:eastAsia="Noto Serif CJK SC"/>
          <w:color w:val="auto"/>
        </w:rPr>
        <w:t>、PLC控制与三相电机正反转</w:t>
      </w:r>
    </w:p>
    <w:p w14:paraId="71D82E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C主要负责机床顺序控制、辅助动作与安全联锁。按钮、限位开关、安全门及各类传感器信号接入PLC输入端，经程序逻辑运算后，通过输出端控制继电器、接触器等元件。其中I地址接收输入信号，Q地址输出控制信号，如安全门开启时，PLC会触发联锁保护，锁定机床危险动作，保障运行安全。</w:t>
      </w:r>
    </w:p>
    <w:p w14:paraId="10BBC8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控系统与PLC分工清晰、协同作业：数控系统管控加工轨迹、主轴和伺服轴运动，决定机床运动路径；PLC负责传感器、刀库、冷却、排屑及安全防护的逻辑顺序与机构联动，把控设备运行时序与联动规则，二者配合完成加工程序的落地执行。</w:t>
      </w:r>
    </w:p>
    <w:p w14:paraId="145BFF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路控制中，KA中间继电器用于信号传输与电路隔离，KM接触器管控大功率电机负载，遵循弱电控制强电的原理，由PLC驱动中间继电器，再控制接触器通断。三相电机正反转是典型应用，通过调换两相相序切换转向，搭配接触器互锁防止短路，完整控制链路为：按钮/传感器→PLC→KA→KM→三相电机。</w:t>
      </w:r>
    </w:p>
    <w:p w14:paraId="51070FF7">
      <w:pPr>
        <w:spacing w:after="0" w:line="348" w:lineRule="auto"/>
        <w:ind w:firstLine="420"/>
        <w:rPr>
          <w:color w:val="auto"/>
        </w:rPr>
      </w:pPr>
    </w:p>
    <w:p w14:paraId="7FBC445F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99405" cy="1889760"/>
            <wp:effectExtent l="0" t="0" r="1079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7E2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图4 PLC控制三相电机正反转原理简图</w:t>
      </w:r>
    </w:p>
    <w:p w14:paraId="6740FB0A">
      <w:pPr>
        <w:pStyle w:val="3"/>
        <w:rPr>
          <w:color w:val="auto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四</w:t>
      </w:r>
      <w:r>
        <w:rPr>
          <w:rFonts w:ascii="Noto Serif CJK SC" w:hAnsi="Noto Serif CJK SC" w:eastAsia="Noto Serif CJK SC"/>
          <w:color w:val="auto"/>
        </w:rPr>
        <w:t>、伺服闭环控制</w:t>
      </w:r>
    </w:p>
    <w:p w14:paraId="11843181">
      <w:pPr>
        <w:spacing w:after="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4"/>
        </w:rPr>
        <w:t>数控加工中心的进给精度还依赖伺服闭环控制。数控系统给出目标位置和速度，伺服驱动器驱动交流伺服电机，电机经丝杠带动工作台运动；编码器实时检测电机位置和速度，并把反馈信号送回控制器。控制器将目标值与反馈值比较并不断修正输出，使各坐标轴能够准确到位。</w:t>
      </w:r>
    </w:p>
    <w:p w14:paraId="2F7ADC15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99405" cy="1943735"/>
            <wp:effectExtent l="0" t="0" r="1079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9FCD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图5 伺服进给闭环控制简图</w:t>
      </w:r>
    </w:p>
    <w:p w14:paraId="4412039E">
      <w:pPr>
        <w:pStyle w:val="3"/>
        <w:rPr>
          <w:color w:val="auto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五</w:t>
      </w:r>
      <w:r>
        <w:rPr>
          <w:rFonts w:ascii="Noto Serif CJK SC" w:hAnsi="Noto Serif CJK SC" w:eastAsia="Noto Serif CJK SC"/>
          <w:color w:val="auto"/>
        </w:rPr>
        <w:t>、整体工作过程</w:t>
      </w:r>
    </w:p>
    <w:p w14:paraId="0CEDD35E">
      <w:pPr>
        <w:spacing w:after="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4"/>
        </w:rPr>
        <w:t>加工开始前，操作者先完成工件装夹、刀具准备和程序输入。加工时，数控系统控制主轴和三轴运动，PLC负责辅助动作和安全联锁；需要换工序时，刀库和换刀机构自动换刀；冷却、排屑和传感器检测贯穿整个加工过程。全部工序完成后，机床回到规定位置，结束一次加工循环。</w:t>
      </w:r>
    </w:p>
    <w:p w14:paraId="3A7ADAC1">
      <w:pPr>
        <w:spacing w:before="60" w:after="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</w:rPr>
        <w:drawing>
          <wp:inline distT="0" distB="0" distL="114300" distR="114300">
            <wp:extent cx="5399405" cy="1457960"/>
            <wp:effectExtent l="0" t="0" r="1079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83AB">
      <w:pPr>
        <w:spacing w:after="60"/>
        <w:jc w:val="center"/>
        <w:rPr>
          <w:color w:val="auto"/>
        </w:rPr>
      </w:pPr>
      <w:r>
        <w:rPr>
          <w:rFonts w:ascii="Noto Serif CJK SC" w:hAnsi="Noto Serif CJK SC" w:eastAsia="Noto Serif CJK SC"/>
          <w:color w:val="auto"/>
          <w:sz w:val="21"/>
        </w:rPr>
        <w:t>图6 数控加工中心整体工作流程图</w:t>
      </w:r>
    </w:p>
    <w:p w14:paraId="74A62B73">
      <w:pPr>
        <w:pStyle w:val="3"/>
        <w:rPr>
          <w:rFonts w:ascii="Noto Serif CJK SC" w:hAnsi="Noto Serif CJK SC" w:eastAsia="Noto Serif CJK SC"/>
          <w:color w:val="auto"/>
          <w:sz w:val="24"/>
        </w:rPr>
      </w:pPr>
      <w:r>
        <w:rPr>
          <w:rFonts w:hint="eastAsia" w:ascii="Noto Serif CJK SC" w:hAnsi="Noto Serif CJK SC" w:eastAsia="宋体"/>
          <w:color w:val="auto"/>
          <w:lang w:val="en-US" w:eastAsia="zh-CN"/>
        </w:rPr>
        <w:t>六、</w:t>
      </w:r>
      <w:r>
        <w:rPr>
          <w:rFonts w:ascii="Noto Serif CJK SC" w:hAnsi="Noto Serif CJK SC" w:eastAsia="Noto Serif CJK SC"/>
          <w:color w:val="auto"/>
        </w:rPr>
        <w:t>实习总结</w:t>
      </w:r>
    </w:p>
    <w:p w14:paraId="5DB5E648">
      <w:pPr>
        <w:pStyle w:val="30"/>
        <w:keepNext w:val="0"/>
        <w:keepLines w:val="0"/>
        <w:widowControl/>
        <w:suppressLineNumbers w:val="0"/>
        <w:ind w:firstLine="480" w:firstLineChars="200"/>
      </w:pPr>
      <w:bookmarkStart w:id="0" w:name="_GoBack"/>
      <w:bookmarkEnd w:id="0"/>
      <w:r>
        <w:t>本次实习让我认识到数控加工中心是集机械结构、伺服驱动、PLC与安全联锁于一体的机电一体化系统。主轴完成切削，丝杠实现直线进给，PLC负责顺序控制，继电器、接触器驱动执行元件，编码器反馈位置与速度。实地观摩直观展现了机床工作原理，为后续专业课学习奠定基础。</w:t>
      </w:r>
    </w:p>
    <w:p w14:paraId="0C1A4084">
      <w:pPr>
        <w:spacing w:before="100" w:line="288" w:lineRule="auto"/>
        <w:rPr>
          <w:color w:val="auto"/>
        </w:rPr>
      </w:pPr>
    </w:p>
    <w:sectPr>
      <w:pgSz w:w="12240" w:h="15840"/>
      <w:pgMar w:top="1134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99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  <w:rPr>
      <w:rFonts w:ascii="Noto Serif CJK SC" w:hAnsi="Noto Serif CJK SC" w:eastAsia="Noto Serif CJK SC"/>
    </w:rPr>
  </w:style>
  <w:style w:type="table" w:default="1" w:styleId="33">
    <w:name w:val="Normal Table"/>
    <w:semiHidden/>
    <w:unhideWhenUsed/>
    <w:qFormat/>
    <w:uiPriority w:val="99"/>
    <w:rPr>
      <w:rFonts w:ascii="Noto Serif CJK SC" w:hAnsi="Noto Serif CJK SC" w:eastAsia="Noto Serif CJK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erif CJK SC" w:hAnsi="Noto Serif CJK SC" w:eastAsia="Noto Serif CJK SC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Noto Serif CJK SC" w:hAnsi="Noto Serif CJK SC" w:eastAsia="Noto Serif CJK SC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erif CJK SC" w:hAnsi="Noto Serif CJK SC" w:eastAsia="Noto Serif CJK SC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erif CJK SC" w:hAnsi="Noto Serif CJK SC" w:eastAsia="Noto Serif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erif CJK SC" w:hAnsi="Noto Serif CJK SC" w:eastAsia="Noto Serif CJK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erif CJK SC" w:hAnsi="Noto Serif CJK SC" w:eastAsia="Noto Serif CJK SC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rFonts w:ascii="Noto Serif CJK SC" w:hAnsi="Noto Serif CJK SC" w:eastAsia="Noto Serif CJK SC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Noto Serif CJK SC" w:hAnsi="Noto Serif CJK SC" w:eastAsia="Noto Serif CJK SC"/>
    </w:r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  <w:rPr>
      <w:rFonts w:ascii="Noto Serif CJK SC" w:hAnsi="Noto Serif CJK SC" w:eastAsia="Noto Serif CJK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erif CJK SC" w:hAnsi="Noto Serif CJK SC" w:eastAsia="Noto Serif CJK SC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Noto Serif CJK SC" w:hAnsi="Noto Serif CJK SC" w:eastAsia="Noto Serif CJK SC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Noto Serif CJK SC" w:hAnsi="Noto Serif CJK SC" w:eastAsia="Noto Serif CJK SC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erif CJK SC" w:hAnsi="Noto Serif CJK SC" w:eastAsia="Noto Serif CJK SC"/>
    </w:r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Noto Serif CJK SC" w:hAnsi="Noto Serif CJK SC" w:eastAsia="Noto Serif CJK SC"/>
    </w:r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  <w:rPr>
      <w:rFonts w:ascii="Noto Serif CJK SC" w:hAnsi="Noto Serif CJK SC" w:eastAsia="Noto Serif CJK SC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Noto Serif CJK SC" w:hAnsi="Noto Serif CJK SC" w:eastAsia="Noto Serif CJK SC"/>
    </w:r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Noto Serif CJK SC" w:hAnsi="Noto Serif CJK SC" w:eastAsia="Noto Serif CJK SC"/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rFonts w:ascii="Noto Serif CJK SC" w:hAnsi="Noto Serif CJK SC" w:eastAsia="Noto Serif CJK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rFonts w:ascii="Noto Serif CJK SC" w:hAnsi="Noto Serif CJK SC" w:eastAsia="Noto Serif CJK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rFonts w:ascii="Noto Serif CJK SC" w:hAnsi="Noto Serif CJK SC" w:eastAsia="Noto Serif CJK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rFonts w:ascii="Noto Serif CJK SC" w:hAnsi="Noto Serif CJK SC" w:eastAsia="Noto Serif CJK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rFonts w:ascii="Noto Serif CJK SC" w:hAnsi="Noto Serif CJK SC" w:eastAsia="Noto Serif CJK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rFonts w:ascii="Noto Serif CJK SC" w:hAnsi="Noto Serif CJK SC" w:eastAsia="Noto Serif CJK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rFonts w:ascii="Noto Serif CJK SC" w:hAnsi="Noto Serif CJK SC" w:eastAsia="Noto Serif CJK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rFonts w:ascii="Noto Serif CJK SC" w:hAnsi="Noto Serif CJK SC" w:eastAsia="Noto Serif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rFonts w:ascii="Noto Serif CJK SC" w:hAnsi="Noto Serif CJK SC" w:eastAsia="Noto Serif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Noto Serif CJK SC" w:hAnsi="Noto Serif CJK SC" w:eastAsia="Noto Serif CJK SC"/>
      <w:b/>
      <w:bCs/>
    </w:rPr>
  </w:style>
  <w:style w:type="character" w:styleId="135">
    <w:name w:val="Emphasis"/>
    <w:basedOn w:val="133"/>
    <w:qFormat/>
    <w:uiPriority w:val="20"/>
    <w:rPr>
      <w:rFonts w:ascii="Noto Serif CJK SC" w:hAnsi="Noto Serif CJK SC" w:eastAsia="Noto Serif CJK SC"/>
      <w:i/>
      <w:iCs/>
    </w:rPr>
  </w:style>
  <w:style w:type="character" w:customStyle="1" w:styleId="136">
    <w:name w:val="Header Char"/>
    <w:basedOn w:val="133"/>
    <w:link w:val="25"/>
    <w:uiPriority w:val="99"/>
    <w:rPr>
      <w:rFonts w:ascii="Noto Serif CJK SC" w:hAnsi="Noto Serif CJK SC" w:eastAsia="Noto Serif CJK SC"/>
    </w:rPr>
  </w:style>
  <w:style w:type="character" w:customStyle="1" w:styleId="137">
    <w:name w:val="Footer Char"/>
    <w:basedOn w:val="133"/>
    <w:link w:val="24"/>
    <w:uiPriority w:val="99"/>
    <w:rPr>
      <w:rFonts w:ascii="Noto Serif CJK SC" w:hAnsi="Noto Serif CJK SC" w:eastAsia="Noto Serif CJK SC"/>
    </w:rPr>
  </w:style>
  <w:style w:type="paragraph" w:styleId="138">
    <w:name w:val="No Spacing"/>
    <w:qFormat/>
    <w:uiPriority w:val="1"/>
    <w:pPr>
      <w:spacing w:after="0" w:line="240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  <w:rPr>
      <w:rFonts w:ascii="Noto Serif CJK SC" w:hAnsi="Noto Serif CJK SC" w:eastAsia="Noto Serif CJK SC"/>
    </w:rPr>
  </w:style>
  <w:style w:type="character" w:customStyle="1" w:styleId="145">
    <w:name w:val="Body Text Char"/>
    <w:basedOn w:val="133"/>
    <w:link w:val="19"/>
    <w:qFormat/>
    <w:uiPriority w:val="99"/>
    <w:rPr>
      <w:rFonts w:ascii="Noto Serif CJK SC" w:hAnsi="Noto Serif CJK SC" w:eastAsia="Noto Serif CJK SC"/>
    </w:rPr>
  </w:style>
  <w:style w:type="character" w:customStyle="1" w:styleId="146">
    <w:name w:val="Body Text 2 Char"/>
    <w:basedOn w:val="133"/>
    <w:link w:val="28"/>
    <w:qFormat/>
    <w:uiPriority w:val="99"/>
    <w:rPr>
      <w:rFonts w:ascii="Noto Serif CJK SC" w:hAnsi="Noto Serif CJK SC" w:eastAsia="Noto Serif CJK SC"/>
    </w:rPr>
  </w:style>
  <w:style w:type="character" w:customStyle="1" w:styleId="147">
    <w:name w:val="Body Text 3 Char"/>
    <w:basedOn w:val="133"/>
    <w:link w:val="17"/>
    <w:qFormat/>
    <w:uiPriority w:val="99"/>
    <w:rPr>
      <w:rFonts w:ascii="Noto Serif CJK SC" w:hAnsi="Noto Serif CJK SC" w:eastAsia="Noto Serif CJK SC"/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Noto Serif CJK SC" w:hAnsi="Noto Serif CJK SC" w:eastAsia="Noto Serif CJK SC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rFonts w:ascii="Noto Serif CJK SC" w:hAnsi="Noto Serif CJK SC" w:eastAsia="Noto Serif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rFonts w:ascii="Noto Serif CJK SC" w:hAnsi="Noto Serif CJK SC" w:eastAsia="Noto Serif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erif CJK SC" w:hAnsi="Noto Serif CJK SC" w:eastAsia="Noto Serif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rFonts w:ascii="Noto Serif CJK SC" w:hAnsi="Noto Serif CJK SC" w:eastAsia="Noto Serif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rFonts w:ascii="Noto Serif CJK SC" w:hAnsi="Noto Serif CJK SC" w:eastAsia="Noto Serif CJK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rFonts w:ascii="Noto Serif CJK SC" w:hAnsi="Noto Serif CJK SC" w:eastAsia="Noto Serif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rFonts w:ascii="Noto Serif CJK SC" w:hAnsi="Noto Serif CJK SC" w:eastAsia="Noto Serif CJK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rFonts w:ascii="Noto Serif CJK SC" w:hAnsi="Noto Serif CJK SC" w:eastAsia="Noto Serif CJK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rFonts w:ascii="Noto Serif CJK SC" w:hAnsi="Noto Serif CJK SC" w:eastAsia="Noto Serif CJK SC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erif CJK SC" w:hAnsi="Noto Serif CJK SC" w:eastAsia="Noto Serif CJK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2468</Words>
  <Characters>2528</Characters>
  <Lines>0</Lines>
  <Paragraphs>0</Paragraphs>
  <TotalTime>239</TotalTime>
  <ScaleCrop>false</ScaleCrop>
  <LinksUpToDate>false</LinksUpToDate>
  <CharactersWithSpaces>2539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赵启涵</cp:lastModifiedBy>
  <dcterms:modified xsi:type="dcterms:W3CDTF">2026-09-12T14:12:20Z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eyJoZGlkIjoiMmRmZjg0ZDQ3ZGM3NmYxZmE5ZDZjMjVlNjY0ZjM1NDYiLCJ1c2VySWQiOiI4MjI4ODkzODYifQ==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1A517FA6120A4330BA8800D10D683581_12</vt:lpwstr>
  </property>
</Properties>
</file>