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E46FD9">
      <w:pPr>
        <w:pStyle w:val="3"/>
        <w:keepNext/>
        <w:jc w:val="center"/>
        <w:rPr>
          <w:rFonts w:hint="eastAsia" w:ascii="宋体" w:hAnsi="宋体" w:eastAsia="宋体" w:cs="宋体"/>
          <w:color w:val="auto"/>
        </w:rPr>
      </w:pPr>
      <w:r>
        <w:rPr>
          <w:rFonts w:hint="eastAsia" w:ascii="宋体" w:hAnsi="宋体" w:eastAsia="宋体" w:cs="宋体"/>
          <w:color w:val="auto"/>
        </w:rPr>
        <w:t>数控加工中心认识实习报告</w:t>
      </w:r>
    </w:p>
    <w:p w14:paraId="04D28DC8">
      <w:pPr>
        <w:pStyle w:val="3"/>
        <w:keepNext/>
        <w:rPr>
          <w:rFonts w:hint="eastAsia" w:ascii="宋体" w:hAnsi="宋体" w:eastAsia="宋体" w:cs="宋体"/>
          <w:color w:val="auto"/>
        </w:rPr>
      </w:pPr>
      <w:r>
        <w:rPr>
          <w:rFonts w:hint="eastAsia" w:ascii="宋体" w:hAnsi="宋体" w:eastAsia="宋体" w:cs="宋体"/>
          <w:color w:val="auto"/>
        </w:rPr>
        <w:t>1 实习目的与设备认识</w:t>
      </w:r>
    </w:p>
    <w:p w14:paraId="2570FFFA">
      <w:pPr>
        <w:jc w:val="both"/>
        <w:rPr>
          <w:rFonts w:hint="eastAsia" w:ascii="宋体" w:hAnsi="宋体" w:eastAsia="宋体" w:cs="宋体"/>
          <w:color w:val="auto"/>
        </w:rPr>
      </w:pPr>
      <w:r>
        <w:rPr>
          <w:rFonts w:hint="eastAsia" w:ascii="宋体" w:hAnsi="宋体" w:eastAsia="宋体" w:cs="宋体"/>
          <w:color w:val="auto"/>
        </w:rPr>
        <w:t>本次认识实习以数控加工中心为对象，通过现场设备、控制柜和电气原理讲解，对加工中心的机械结构、进给与主轴运动、自动换刀以及PLC电气控制形成整体认识。与普通单功能机床相比，加工中心能够在一次装夹后连续完成铣削、镗孔、钻孔、攻丝等多道工序，并通过数控系统、伺服驱动和自动换刀机构把机械执行与程序控制结合起来。实习的重点不仅是认识机床各部分“是什么”，还要理解运动如何产生、信号如何传递以及电气控制如何保证动作顺序和安全联锁。</w:t>
      </w:r>
    </w:p>
    <w:p w14:paraId="7DE1121E">
      <w:pPr>
        <w:pStyle w:val="3"/>
        <w:keepNext/>
        <w:rPr>
          <w:rFonts w:hint="eastAsia" w:ascii="宋体" w:hAnsi="宋体" w:eastAsia="宋体" w:cs="宋体"/>
          <w:color w:val="auto"/>
        </w:rPr>
      </w:pPr>
      <w:r>
        <w:rPr>
          <w:rFonts w:hint="eastAsia" w:ascii="宋体" w:hAnsi="宋体" w:eastAsia="宋体" w:cs="宋体"/>
          <w:color w:val="auto"/>
        </w:rPr>
        <w:t>2 数控加工中心的主要特点与基本组成</w:t>
      </w:r>
    </w:p>
    <w:p w14:paraId="3F34716D">
      <w:pPr>
        <w:jc w:val="both"/>
        <w:rPr>
          <w:rFonts w:hint="eastAsia" w:ascii="宋体" w:hAnsi="宋体" w:eastAsia="宋体" w:cs="宋体"/>
          <w:color w:val="auto"/>
        </w:rPr>
      </w:pPr>
      <w:r>
        <w:rPr>
          <w:rFonts w:hint="eastAsia" w:ascii="宋体" w:hAnsi="宋体" w:eastAsia="宋体" w:cs="宋体"/>
          <w:color w:val="auto"/>
        </w:rPr>
        <w:t>现场讲解首先从加工中心的特点入手。其一，多工序集中加工可以减少重复装夹带来的时间损失和定位误差；其二，刀库和自动换刀机构能够按照程序自动选择刀具，使不同工序之间的衔接更加紧凑；其三，主轴和各进给轴均采用电机驱动，配合数控系统实现较高的运动精度和重复定位能力；其四，机床具有较高刚性，同时设置安全门、传感器等安全保护环节，只有在满足联锁条件时相关运动才能执行。</w:t>
      </w:r>
    </w:p>
    <w:p w14:paraId="6C127F27">
      <w:pPr>
        <w:jc w:val="both"/>
        <w:rPr>
          <w:rFonts w:hint="eastAsia" w:ascii="宋体" w:hAnsi="宋体" w:eastAsia="宋体" w:cs="宋体"/>
          <w:color w:val="auto"/>
        </w:rPr>
      </w:pPr>
      <w:r>
        <w:rPr>
          <w:rFonts w:hint="eastAsia" w:ascii="宋体" w:hAnsi="宋体" w:eastAsia="宋体" w:cs="宋体"/>
          <w:color w:val="auto"/>
        </w:rPr>
        <w:t>从结构上看，加工中心可分为机械主体、主轴系统、进给系统、刀库与换刀机构、数控及PLC控制系统，以及冷却、排屑等辅助系统。工作台安装工件，床身为各运动部件提供支承；主轴系统负责带动刀具旋转；X、Y、Z三轴进给机构负责建立刀具与工件之间的相对位置；刀库根据程序完成刀具储存与更换；冷却系统向加工区域提供冷却液，排屑机构则及时清除切屑。各部分并不是独立工作的，而是在数控系统和PLC控制下按照加工程序协调运行。</w:t>
      </w:r>
    </w:p>
    <w:p w14:paraId="1BF97D1B">
      <w:pPr>
        <w:jc w:val="center"/>
        <w:rPr>
          <w:rFonts w:hint="eastAsia" w:ascii="宋体" w:hAnsi="宋体" w:eastAsia="宋体" w:cs="宋体"/>
          <w:color w:val="auto"/>
        </w:rPr>
      </w:pPr>
      <w:r>
        <w:rPr>
          <w:rFonts w:hint="eastAsia" w:ascii="宋体" w:hAnsi="宋体" w:eastAsia="宋体" w:cs="宋体"/>
          <w:color w:val="auto"/>
        </w:rPr>
        <w:drawing>
          <wp:inline distT="0" distB="0" distL="114300" distR="114300">
            <wp:extent cx="5543550" cy="24434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544000" cy="2443542"/>
                    </a:xfrm>
                    <a:prstGeom prst="rect">
                      <a:avLst/>
                    </a:prstGeom>
                  </pic:spPr>
                </pic:pic>
              </a:graphicData>
            </a:graphic>
          </wp:inline>
        </w:drawing>
      </w:r>
    </w:p>
    <w:p w14:paraId="43A1332D">
      <w:pPr>
        <w:keepNext/>
        <w:spacing w:before="40" w:after="100"/>
        <w:ind w:firstLine="0"/>
        <w:jc w:val="center"/>
        <w:rPr>
          <w:rFonts w:hint="eastAsia" w:ascii="宋体" w:hAnsi="宋体" w:eastAsia="宋体" w:cs="宋体"/>
          <w:color w:val="auto"/>
        </w:rPr>
      </w:pPr>
      <w:r>
        <w:rPr>
          <w:rFonts w:hint="eastAsia" w:ascii="宋体" w:hAnsi="宋体" w:eastAsia="宋体" w:cs="宋体"/>
          <w:color w:val="auto"/>
          <w:sz w:val="21"/>
        </w:rPr>
        <w:t>图1 数控加工中心总体结构简图</w:t>
      </w:r>
    </w:p>
    <w:p w14:paraId="6567665E">
      <w:pPr>
        <w:keepNext/>
        <w:ind w:firstLine="0"/>
        <w:jc w:val="center"/>
        <w:rPr>
          <w:rFonts w:hint="eastAsia" w:ascii="宋体" w:hAnsi="宋体" w:eastAsia="宋体" w:cs="宋体"/>
          <w:color w:val="auto"/>
        </w:rPr>
      </w:pPr>
      <w:r>
        <w:rPr>
          <w:rFonts w:hint="eastAsia" w:ascii="宋体" w:hAnsi="宋体" w:eastAsia="宋体" w:cs="宋体"/>
          <w:color w:val="auto"/>
          <w:sz w:val="21"/>
        </w:rPr>
        <w:t>表1 数控加工中心主要组成及作用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54"/>
        <w:gridCol w:w="3154"/>
        <w:gridCol w:w="3154"/>
      </w:tblGrid>
      <w:tr w14:paraId="32847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375C0EE2">
            <w:pPr>
              <w:spacing w:after="0"/>
              <w:ind w:firstLine="0"/>
              <w:jc w:val="center"/>
              <w:rPr>
                <w:rFonts w:hint="eastAsia" w:ascii="宋体" w:hAnsi="宋体" w:eastAsia="宋体" w:cs="宋体"/>
                <w:color w:val="auto"/>
              </w:rPr>
            </w:pPr>
            <w:r>
              <w:rPr>
                <w:rFonts w:hint="eastAsia" w:ascii="宋体" w:hAnsi="宋体" w:eastAsia="宋体" w:cs="宋体"/>
                <w:color w:val="auto"/>
                <w:sz w:val="20"/>
              </w:rPr>
              <w:t>组成部分</w:t>
            </w:r>
          </w:p>
        </w:tc>
        <w:tc>
          <w:tcPr>
            <w:tcW w:w="3154" w:type="dxa"/>
            <w:vAlign w:val="center"/>
          </w:tcPr>
          <w:p w14:paraId="3BB4F526">
            <w:pPr>
              <w:spacing w:after="0"/>
              <w:ind w:firstLine="0"/>
              <w:jc w:val="center"/>
              <w:rPr>
                <w:rFonts w:hint="eastAsia" w:ascii="宋体" w:hAnsi="宋体" w:eastAsia="宋体" w:cs="宋体"/>
                <w:color w:val="auto"/>
              </w:rPr>
            </w:pPr>
            <w:r>
              <w:rPr>
                <w:rFonts w:hint="eastAsia" w:ascii="宋体" w:hAnsi="宋体" w:eastAsia="宋体" w:cs="宋体"/>
                <w:color w:val="auto"/>
                <w:sz w:val="20"/>
              </w:rPr>
              <w:t>现场涉及的主要部件</w:t>
            </w:r>
          </w:p>
        </w:tc>
        <w:tc>
          <w:tcPr>
            <w:tcW w:w="3154" w:type="dxa"/>
            <w:vAlign w:val="center"/>
          </w:tcPr>
          <w:p w14:paraId="5724CF7D">
            <w:pPr>
              <w:spacing w:after="0"/>
              <w:ind w:firstLine="0"/>
              <w:jc w:val="center"/>
              <w:rPr>
                <w:rFonts w:hint="eastAsia" w:ascii="宋体" w:hAnsi="宋体" w:eastAsia="宋体" w:cs="宋体"/>
                <w:color w:val="auto"/>
              </w:rPr>
            </w:pPr>
            <w:r>
              <w:rPr>
                <w:rFonts w:hint="eastAsia" w:ascii="宋体" w:hAnsi="宋体" w:eastAsia="宋体" w:cs="宋体"/>
                <w:color w:val="auto"/>
                <w:sz w:val="20"/>
              </w:rPr>
              <w:t>主要作用</w:t>
            </w:r>
          </w:p>
        </w:tc>
      </w:tr>
      <w:tr w14:paraId="3454F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283CB240">
            <w:pPr>
              <w:spacing w:after="0"/>
              <w:ind w:firstLine="0"/>
              <w:jc w:val="center"/>
              <w:rPr>
                <w:rFonts w:hint="eastAsia" w:ascii="宋体" w:hAnsi="宋体" w:eastAsia="宋体" w:cs="宋体"/>
                <w:color w:val="auto"/>
              </w:rPr>
            </w:pPr>
            <w:r>
              <w:rPr>
                <w:rFonts w:hint="eastAsia" w:ascii="宋体" w:hAnsi="宋体" w:eastAsia="宋体" w:cs="宋体"/>
                <w:color w:val="auto"/>
                <w:sz w:val="20"/>
              </w:rPr>
              <w:t>机械主体</w:t>
            </w:r>
          </w:p>
        </w:tc>
        <w:tc>
          <w:tcPr>
            <w:tcW w:w="3154" w:type="dxa"/>
            <w:vAlign w:val="center"/>
          </w:tcPr>
          <w:p w14:paraId="7A108E8D">
            <w:pPr>
              <w:spacing w:after="0"/>
              <w:ind w:firstLine="0"/>
              <w:jc w:val="center"/>
              <w:rPr>
                <w:rFonts w:hint="eastAsia" w:ascii="宋体" w:hAnsi="宋体" w:eastAsia="宋体" w:cs="宋体"/>
                <w:color w:val="auto"/>
              </w:rPr>
            </w:pPr>
            <w:r>
              <w:rPr>
                <w:rFonts w:hint="eastAsia" w:ascii="宋体" w:hAnsi="宋体" w:eastAsia="宋体" w:cs="宋体"/>
                <w:color w:val="auto"/>
                <w:sz w:val="20"/>
              </w:rPr>
              <w:t>床身、工作台、导轨等</w:t>
            </w:r>
          </w:p>
        </w:tc>
        <w:tc>
          <w:tcPr>
            <w:tcW w:w="3154" w:type="dxa"/>
            <w:vAlign w:val="center"/>
          </w:tcPr>
          <w:p w14:paraId="37DA71CD">
            <w:pPr>
              <w:spacing w:after="0"/>
              <w:ind w:firstLine="0"/>
              <w:jc w:val="center"/>
              <w:rPr>
                <w:rFonts w:hint="eastAsia" w:ascii="宋体" w:hAnsi="宋体" w:eastAsia="宋体" w:cs="宋体"/>
                <w:color w:val="auto"/>
              </w:rPr>
            </w:pPr>
            <w:r>
              <w:rPr>
                <w:rFonts w:hint="eastAsia" w:ascii="宋体" w:hAnsi="宋体" w:eastAsia="宋体" w:cs="宋体"/>
                <w:color w:val="auto"/>
                <w:sz w:val="20"/>
              </w:rPr>
              <w:t>支承并保证各运动部件的相对位置</w:t>
            </w:r>
          </w:p>
        </w:tc>
      </w:tr>
      <w:tr w14:paraId="7EFB0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5F969CD9">
            <w:pPr>
              <w:spacing w:after="0"/>
              <w:ind w:firstLine="0"/>
              <w:jc w:val="center"/>
              <w:rPr>
                <w:rFonts w:hint="eastAsia" w:ascii="宋体" w:hAnsi="宋体" w:eastAsia="宋体" w:cs="宋体"/>
                <w:color w:val="auto"/>
              </w:rPr>
            </w:pPr>
            <w:r>
              <w:rPr>
                <w:rFonts w:hint="eastAsia" w:ascii="宋体" w:hAnsi="宋体" w:eastAsia="宋体" w:cs="宋体"/>
                <w:color w:val="auto"/>
                <w:sz w:val="20"/>
              </w:rPr>
              <w:t>主轴系统</w:t>
            </w:r>
          </w:p>
        </w:tc>
        <w:tc>
          <w:tcPr>
            <w:tcW w:w="3154" w:type="dxa"/>
            <w:vAlign w:val="center"/>
          </w:tcPr>
          <w:p w14:paraId="12519141">
            <w:pPr>
              <w:spacing w:after="0"/>
              <w:ind w:firstLine="0"/>
              <w:jc w:val="center"/>
              <w:rPr>
                <w:rFonts w:hint="eastAsia" w:ascii="宋体" w:hAnsi="宋体" w:eastAsia="宋体" w:cs="宋体"/>
                <w:color w:val="auto"/>
              </w:rPr>
            </w:pPr>
            <w:r>
              <w:rPr>
                <w:rFonts w:hint="eastAsia" w:ascii="宋体" w:hAnsi="宋体" w:eastAsia="宋体" w:cs="宋体"/>
                <w:color w:val="auto"/>
                <w:sz w:val="20"/>
              </w:rPr>
              <w:t>主轴、主轴电机</w:t>
            </w:r>
          </w:p>
        </w:tc>
        <w:tc>
          <w:tcPr>
            <w:tcW w:w="3154" w:type="dxa"/>
            <w:vAlign w:val="center"/>
          </w:tcPr>
          <w:p w14:paraId="437B0863">
            <w:pPr>
              <w:spacing w:after="0"/>
              <w:ind w:firstLine="0"/>
              <w:jc w:val="center"/>
              <w:rPr>
                <w:rFonts w:hint="eastAsia" w:ascii="宋体" w:hAnsi="宋体" w:eastAsia="宋体" w:cs="宋体"/>
                <w:color w:val="auto"/>
              </w:rPr>
            </w:pPr>
            <w:r>
              <w:rPr>
                <w:rFonts w:hint="eastAsia" w:ascii="宋体" w:hAnsi="宋体" w:eastAsia="宋体" w:cs="宋体"/>
                <w:color w:val="auto"/>
                <w:sz w:val="20"/>
              </w:rPr>
              <w:t>带动刀具旋转，形成主要切削运动</w:t>
            </w:r>
          </w:p>
        </w:tc>
      </w:tr>
      <w:tr w14:paraId="0BE8A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4ED369A3">
            <w:pPr>
              <w:spacing w:after="0"/>
              <w:ind w:firstLine="0"/>
              <w:jc w:val="center"/>
              <w:rPr>
                <w:rFonts w:hint="eastAsia" w:ascii="宋体" w:hAnsi="宋体" w:eastAsia="宋体" w:cs="宋体"/>
                <w:color w:val="auto"/>
              </w:rPr>
            </w:pPr>
            <w:r>
              <w:rPr>
                <w:rFonts w:hint="eastAsia" w:ascii="宋体" w:hAnsi="宋体" w:eastAsia="宋体" w:cs="宋体"/>
                <w:color w:val="auto"/>
                <w:sz w:val="20"/>
              </w:rPr>
              <w:t>进给系统</w:t>
            </w:r>
          </w:p>
        </w:tc>
        <w:tc>
          <w:tcPr>
            <w:tcW w:w="3154" w:type="dxa"/>
            <w:vAlign w:val="center"/>
          </w:tcPr>
          <w:p w14:paraId="409047BB">
            <w:pPr>
              <w:spacing w:after="0"/>
              <w:ind w:firstLine="0"/>
              <w:jc w:val="center"/>
              <w:rPr>
                <w:rFonts w:hint="eastAsia" w:ascii="宋体" w:hAnsi="宋体" w:eastAsia="宋体" w:cs="宋体"/>
                <w:color w:val="auto"/>
              </w:rPr>
            </w:pPr>
            <w:r>
              <w:rPr>
                <w:rFonts w:hint="eastAsia" w:ascii="宋体" w:hAnsi="宋体" w:eastAsia="宋体" w:cs="宋体"/>
                <w:color w:val="auto"/>
                <w:sz w:val="20"/>
              </w:rPr>
              <w:t>X/Y/Z轴伺服电机、联轴器、丝杠</w:t>
            </w:r>
          </w:p>
        </w:tc>
        <w:tc>
          <w:tcPr>
            <w:tcW w:w="3154" w:type="dxa"/>
            <w:vAlign w:val="center"/>
          </w:tcPr>
          <w:p w14:paraId="02ACACBE">
            <w:pPr>
              <w:spacing w:after="0"/>
              <w:ind w:firstLine="0"/>
              <w:jc w:val="center"/>
              <w:rPr>
                <w:rFonts w:hint="eastAsia" w:ascii="宋体" w:hAnsi="宋体" w:eastAsia="宋体" w:cs="宋体"/>
                <w:color w:val="auto"/>
              </w:rPr>
            </w:pPr>
            <w:r>
              <w:rPr>
                <w:rFonts w:hint="eastAsia" w:ascii="宋体" w:hAnsi="宋体" w:eastAsia="宋体" w:cs="宋体"/>
                <w:color w:val="auto"/>
                <w:sz w:val="20"/>
              </w:rPr>
              <w:t>把电机旋转转换为直线进给运动</w:t>
            </w:r>
          </w:p>
        </w:tc>
      </w:tr>
      <w:tr w14:paraId="7381B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534DC98A">
            <w:pPr>
              <w:spacing w:after="0"/>
              <w:ind w:firstLine="0"/>
              <w:jc w:val="center"/>
              <w:rPr>
                <w:rFonts w:hint="eastAsia" w:ascii="宋体" w:hAnsi="宋体" w:eastAsia="宋体" w:cs="宋体"/>
                <w:color w:val="auto"/>
              </w:rPr>
            </w:pPr>
            <w:r>
              <w:rPr>
                <w:rFonts w:hint="eastAsia" w:ascii="宋体" w:hAnsi="宋体" w:eastAsia="宋体" w:cs="宋体"/>
                <w:color w:val="auto"/>
                <w:sz w:val="20"/>
              </w:rPr>
              <w:t>换刀系统</w:t>
            </w:r>
          </w:p>
        </w:tc>
        <w:tc>
          <w:tcPr>
            <w:tcW w:w="3154" w:type="dxa"/>
            <w:vAlign w:val="center"/>
          </w:tcPr>
          <w:p w14:paraId="66A3600F">
            <w:pPr>
              <w:spacing w:after="0"/>
              <w:ind w:firstLine="0"/>
              <w:jc w:val="center"/>
              <w:rPr>
                <w:rFonts w:hint="eastAsia" w:ascii="宋体" w:hAnsi="宋体" w:eastAsia="宋体" w:cs="宋体"/>
                <w:color w:val="auto"/>
              </w:rPr>
            </w:pPr>
            <w:r>
              <w:rPr>
                <w:rFonts w:hint="eastAsia" w:ascii="宋体" w:hAnsi="宋体" w:eastAsia="宋体" w:cs="宋体"/>
                <w:color w:val="auto"/>
                <w:sz w:val="20"/>
              </w:rPr>
              <w:t>圆盘刀库、换刀机构</w:t>
            </w:r>
          </w:p>
        </w:tc>
        <w:tc>
          <w:tcPr>
            <w:tcW w:w="3154" w:type="dxa"/>
            <w:vAlign w:val="center"/>
          </w:tcPr>
          <w:p w14:paraId="5E181C71">
            <w:pPr>
              <w:spacing w:after="0"/>
              <w:ind w:firstLine="0"/>
              <w:jc w:val="center"/>
              <w:rPr>
                <w:rFonts w:hint="eastAsia" w:ascii="宋体" w:hAnsi="宋体" w:eastAsia="宋体" w:cs="宋体"/>
                <w:color w:val="auto"/>
              </w:rPr>
            </w:pPr>
            <w:r>
              <w:rPr>
                <w:rFonts w:hint="eastAsia" w:ascii="宋体" w:hAnsi="宋体" w:eastAsia="宋体" w:cs="宋体"/>
                <w:color w:val="auto"/>
                <w:sz w:val="20"/>
              </w:rPr>
              <w:t>按程序选择并更换刀具，缩短工序转换时间</w:t>
            </w:r>
          </w:p>
        </w:tc>
      </w:tr>
      <w:tr w14:paraId="2CDE4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6BE7DFA4">
            <w:pPr>
              <w:spacing w:after="0"/>
              <w:ind w:firstLine="0"/>
              <w:jc w:val="center"/>
              <w:rPr>
                <w:rFonts w:hint="eastAsia" w:ascii="宋体" w:hAnsi="宋体" w:eastAsia="宋体" w:cs="宋体"/>
                <w:color w:val="auto"/>
              </w:rPr>
            </w:pPr>
            <w:r>
              <w:rPr>
                <w:rFonts w:hint="eastAsia" w:ascii="宋体" w:hAnsi="宋体" w:eastAsia="宋体" w:cs="宋体"/>
                <w:color w:val="auto"/>
                <w:sz w:val="20"/>
              </w:rPr>
              <w:t>控制系统</w:t>
            </w:r>
          </w:p>
        </w:tc>
        <w:tc>
          <w:tcPr>
            <w:tcW w:w="3154" w:type="dxa"/>
            <w:vAlign w:val="center"/>
          </w:tcPr>
          <w:p w14:paraId="4BE072E7">
            <w:pPr>
              <w:spacing w:after="0"/>
              <w:ind w:firstLine="0"/>
              <w:jc w:val="center"/>
              <w:rPr>
                <w:rFonts w:hint="eastAsia" w:ascii="宋体" w:hAnsi="宋体" w:eastAsia="宋体" w:cs="宋体"/>
                <w:color w:val="auto"/>
              </w:rPr>
            </w:pPr>
            <w:r>
              <w:rPr>
                <w:rFonts w:hint="eastAsia" w:ascii="宋体" w:hAnsi="宋体" w:eastAsia="宋体" w:cs="宋体"/>
                <w:color w:val="auto"/>
                <w:sz w:val="20"/>
              </w:rPr>
              <w:t>数控系统、PLC、驱动器、传感器</w:t>
            </w:r>
          </w:p>
        </w:tc>
        <w:tc>
          <w:tcPr>
            <w:tcW w:w="3154" w:type="dxa"/>
            <w:vAlign w:val="center"/>
          </w:tcPr>
          <w:p w14:paraId="46C97488">
            <w:pPr>
              <w:spacing w:after="0"/>
              <w:ind w:firstLine="0"/>
              <w:jc w:val="center"/>
              <w:rPr>
                <w:rFonts w:hint="eastAsia" w:ascii="宋体" w:hAnsi="宋体" w:eastAsia="宋体" w:cs="宋体"/>
                <w:color w:val="auto"/>
              </w:rPr>
            </w:pPr>
            <w:r>
              <w:rPr>
                <w:rFonts w:hint="eastAsia" w:ascii="宋体" w:hAnsi="宋体" w:eastAsia="宋体" w:cs="宋体"/>
                <w:color w:val="auto"/>
                <w:sz w:val="20"/>
              </w:rPr>
              <w:t>完成程序运算、逻辑控制、运动控制与状态检测</w:t>
            </w:r>
          </w:p>
        </w:tc>
      </w:tr>
      <w:tr w14:paraId="3C450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76AA0574">
            <w:pPr>
              <w:spacing w:after="0"/>
              <w:ind w:firstLine="0"/>
              <w:jc w:val="center"/>
              <w:rPr>
                <w:rFonts w:hint="eastAsia" w:ascii="宋体" w:hAnsi="宋体" w:eastAsia="宋体" w:cs="宋体"/>
                <w:color w:val="auto"/>
              </w:rPr>
            </w:pPr>
            <w:r>
              <w:rPr>
                <w:rFonts w:hint="eastAsia" w:ascii="宋体" w:hAnsi="宋体" w:eastAsia="宋体" w:cs="宋体"/>
                <w:color w:val="auto"/>
                <w:sz w:val="20"/>
              </w:rPr>
              <w:t>辅助系统</w:t>
            </w:r>
          </w:p>
        </w:tc>
        <w:tc>
          <w:tcPr>
            <w:tcW w:w="3154" w:type="dxa"/>
            <w:vAlign w:val="center"/>
          </w:tcPr>
          <w:p w14:paraId="213FC502">
            <w:pPr>
              <w:spacing w:after="0"/>
              <w:ind w:firstLine="0"/>
              <w:jc w:val="center"/>
              <w:rPr>
                <w:rFonts w:hint="eastAsia" w:ascii="宋体" w:hAnsi="宋体" w:eastAsia="宋体" w:cs="宋体"/>
                <w:color w:val="auto"/>
              </w:rPr>
            </w:pPr>
            <w:r>
              <w:rPr>
                <w:rFonts w:hint="eastAsia" w:ascii="宋体" w:hAnsi="宋体" w:eastAsia="宋体" w:cs="宋体"/>
                <w:color w:val="auto"/>
                <w:sz w:val="20"/>
              </w:rPr>
              <w:t>冷却、排屑、安全门等</w:t>
            </w:r>
          </w:p>
        </w:tc>
        <w:tc>
          <w:tcPr>
            <w:tcW w:w="3154" w:type="dxa"/>
            <w:vAlign w:val="center"/>
          </w:tcPr>
          <w:p w14:paraId="414424A8">
            <w:pPr>
              <w:spacing w:after="0"/>
              <w:ind w:firstLine="0"/>
              <w:jc w:val="center"/>
              <w:rPr>
                <w:rFonts w:hint="eastAsia" w:ascii="宋体" w:hAnsi="宋体" w:eastAsia="宋体" w:cs="宋体"/>
                <w:color w:val="auto"/>
              </w:rPr>
            </w:pPr>
            <w:r>
              <w:rPr>
                <w:rFonts w:hint="eastAsia" w:ascii="宋体" w:hAnsi="宋体" w:eastAsia="宋体" w:cs="宋体"/>
                <w:color w:val="auto"/>
                <w:sz w:val="20"/>
              </w:rPr>
              <w:t>保证加工环境、切屑处理及操作安全</w:t>
            </w:r>
          </w:p>
        </w:tc>
      </w:tr>
    </w:tbl>
    <w:p w14:paraId="175B0C66">
      <w:pPr>
        <w:pStyle w:val="3"/>
        <w:keepNext/>
        <w:rPr>
          <w:rFonts w:hint="eastAsia" w:ascii="宋体" w:hAnsi="宋体" w:eastAsia="宋体" w:cs="宋体"/>
          <w:color w:val="auto"/>
        </w:rPr>
      </w:pPr>
      <w:r>
        <w:rPr>
          <w:rFonts w:hint="eastAsia" w:ascii="宋体" w:hAnsi="宋体" w:eastAsia="宋体" w:cs="宋体"/>
          <w:color w:val="auto"/>
        </w:rPr>
        <w:t>3 主轴、进给与自动换刀原理</w:t>
      </w:r>
    </w:p>
    <w:p w14:paraId="27017618">
      <w:pPr>
        <w:pStyle w:val="4"/>
        <w:keepNext/>
        <w:rPr>
          <w:rFonts w:hint="eastAsia" w:ascii="宋体" w:hAnsi="宋体" w:eastAsia="宋体" w:cs="宋体"/>
          <w:color w:val="auto"/>
        </w:rPr>
      </w:pPr>
      <w:r>
        <w:rPr>
          <w:rFonts w:hint="eastAsia" w:ascii="宋体" w:hAnsi="宋体" w:eastAsia="宋体" w:cs="宋体"/>
          <w:color w:val="auto"/>
        </w:rPr>
        <w:t>3.1 主轴运动与加工性能</w:t>
      </w:r>
    </w:p>
    <w:p w14:paraId="3EF3F18E">
      <w:pPr>
        <w:jc w:val="both"/>
        <w:rPr>
          <w:rFonts w:hint="eastAsia" w:ascii="宋体" w:hAnsi="宋体" w:eastAsia="宋体" w:cs="宋体"/>
          <w:color w:val="auto"/>
        </w:rPr>
      </w:pPr>
      <w:r>
        <w:rPr>
          <w:rFonts w:hint="eastAsia" w:ascii="宋体" w:hAnsi="宋体" w:eastAsia="宋体" w:cs="宋体"/>
          <w:color w:val="auto"/>
        </w:rPr>
        <w:t>主轴电机驱动主轴和刀具旋转，构成加工中心的主要切削运动。课堂中结合主轴转速、功率和转矩曲线说明，不同转速区间内电机的输出能力并不相同：低速时更强调转矩能力，高速运行时则需要关注功率与转矩随转速变化的关系。因此，在实际加工中应根据刀具直径、材料和工序要求选择合适的主轴转速，而不能只追求最高转速。此次参观的目的主要是理解参数背后的机械含义，即主轴系统既要满足高速加工，也要具有能够承受切削负载的动力性能。</w:t>
      </w:r>
    </w:p>
    <w:p w14:paraId="5E0E71E3">
      <w:pPr>
        <w:pStyle w:val="4"/>
        <w:keepNext/>
        <w:rPr>
          <w:rFonts w:hint="eastAsia" w:ascii="宋体" w:hAnsi="宋体" w:eastAsia="宋体" w:cs="宋体"/>
          <w:color w:val="auto"/>
        </w:rPr>
      </w:pPr>
      <w:r>
        <w:rPr>
          <w:rFonts w:hint="eastAsia" w:ascii="宋体" w:hAnsi="宋体" w:eastAsia="宋体" w:cs="宋体"/>
          <w:color w:val="auto"/>
        </w:rPr>
        <w:t>3.2 X、Y、Z三轴进给与丝杠传动</w:t>
      </w:r>
    </w:p>
    <w:p w14:paraId="3377E6BA">
      <w:pPr>
        <w:jc w:val="both"/>
        <w:rPr>
          <w:rFonts w:hint="eastAsia" w:ascii="宋体" w:hAnsi="宋体" w:eastAsia="宋体" w:cs="宋体"/>
          <w:color w:val="auto"/>
        </w:rPr>
      </w:pPr>
      <w:r>
        <w:rPr>
          <w:rFonts w:hint="eastAsia" w:ascii="宋体" w:hAnsi="宋体" w:eastAsia="宋体" w:cs="宋体"/>
          <w:color w:val="auto"/>
        </w:rPr>
        <w:t>X、Y、Z三个坐标方向均由交流伺服电机驱动。电机输出的是旋转运动，而工作台或主轴部件需要进行直线位移，因此必须利用机械传动机构实现运动形式转换。现场讲解中重点介绍了电机、联轴器和丝杠之间的连接关系：伺服电机通过联轴器带动丝杠转动，丝杠与螺母副把旋转运动转换成直线运动，从而驱动工作台或相应部件沿指定坐标轴移动。数控系统通过控制电机的转角、转速和方向，使三个坐标轴能够按程序完成直线、轮廓等进给运动。</w:t>
      </w:r>
    </w:p>
    <w:p w14:paraId="01915641">
      <w:pPr>
        <w:pStyle w:val="4"/>
        <w:keepNext/>
        <w:rPr>
          <w:rFonts w:hint="eastAsia" w:ascii="宋体" w:hAnsi="宋体" w:eastAsia="宋体" w:cs="宋体"/>
          <w:color w:val="auto"/>
        </w:rPr>
      </w:pPr>
      <w:r>
        <w:rPr>
          <w:rFonts w:hint="eastAsia" w:ascii="宋体" w:hAnsi="宋体" w:eastAsia="宋体" w:cs="宋体"/>
          <w:color w:val="auto"/>
        </w:rPr>
        <w:t>3.3 自动换刀</w:t>
      </w:r>
    </w:p>
    <w:p w14:paraId="7234A8E1">
      <w:pPr>
        <w:jc w:val="both"/>
        <w:rPr>
          <w:rFonts w:hint="eastAsia" w:ascii="宋体" w:hAnsi="宋体" w:eastAsia="宋体" w:cs="宋体"/>
          <w:color w:val="auto"/>
        </w:rPr>
      </w:pPr>
      <w:r>
        <w:rPr>
          <w:rFonts w:hint="eastAsia" w:ascii="宋体" w:hAnsi="宋体" w:eastAsia="宋体" w:cs="宋体"/>
          <w:color w:val="auto"/>
        </w:rPr>
        <w:t>加工中心能够在一次装夹中完成多种工序的重要原因之一，是配置了刀库和自动换刀机构。现场设备采用圆盘式刀库，换刀时控制系统根据程序调用目标刀具，并采用双向就近的思路缩短刀库转位路径。换刀机构的动作必须与主轴停转、刀位确认和相关安全信号配合，只有前一步状态满足要求，下一步动作才能继续执行。这体现出加工中心机械机构与顺序控制之间的紧密联系。</w:t>
      </w:r>
    </w:p>
    <w:p w14:paraId="6824C903">
      <w:pPr>
        <w:pStyle w:val="3"/>
        <w:keepNext/>
        <w:rPr>
          <w:rFonts w:hint="eastAsia" w:ascii="宋体" w:hAnsi="宋体" w:eastAsia="宋体" w:cs="宋体"/>
          <w:color w:val="auto"/>
        </w:rPr>
      </w:pPr>
      <w:r>
        <w:rPr>
          <w:rFonts w:hint="eastAsia" w:ascii="宋体" w:hAnsi="宋体" w:eastAsia="宋体" w:cs="宋体"/>
          <w:color w:val="auto"/>
        </w:rPr>
        <w:t>4 PLC电气控制及三相电机正反转</w:t>
      </w:r>
    </w:p>
    <w:p w14:paraId="4E08C10D">
      <w:pPr>
        <w:pStyle w:val="4"/>
        <w:keepNext/>
        <w:rPr>
          <w:rFonts w:hint="eastAsia" w:ascii="宋体" w:hAnsi="宋体" w:eastAsia="宋体" w:cs="宋体"/>
          <w:color w:val="auto"/>
        </w:rPr>
      </w:pPr>
      <w:r>
        <w:rPr>
          <w:rFonts w:hint="eastAsia" w:ascii="宋体" w:hAnsi="宋体" w:eastAsia="宋体" w:cs="宋体"/>
          <w:color w:val="auto"/>
        </w:rPr>
        <w:t>4.1 PLC输入、输出与现场信号</w:t>
      </w:r>
    </w:p>
    <w:p w14:paraId="5724B595">
      <w:pPr>
        <w:jc w:val="both"/>
        <w:rPr>
          <w:rFonts w:hint="eastAsia" w:ascii="宋体" w:hAnsi="宋体" w:eastAsia="宋体" w:cs="宋体"/>
          <w:color w:val="auto"/>
        </w:rPr>
      </w:pPr>
      <w:r>
        <w:rPr>
          <w:rFonts w:hint="eastAsia" w:ascii="宋体" w:hAnsi="宋体" w:eastAsia="宋体" w:cs="宋体"/>
          <w:color w:val="auto"/>
        </w:rPr>
        <w:t>PLC主要承担机床中的顺序逻辑和辅助动作控制。现场的传感器、按钮和安全门开关等状态信号接入PLC输入端，程序读取这些输入后进行逻辑判断，再通过输出端控制继电器、接触器或其他执行元件。课堂中以I地址和Q地址说明了PLC端子的编号方式，例如输入端按I3.0～I3.7等地址分组，输出端采用Q地址。地址的意义在于把现场某一个具体器件与程序中的逻辑变量对应起来，使程序能够知道“哪个信号已经到位”以及“应该让哪个执行元件动作”。</w:t>
      </w:r>
    </w:p>
    <w:p w14:paraId="3D92143D">
      <w:pPr>
        <w:jc w:val="both"/>
        <w:rPr>
          <w:rFonts w:hint="eastAsia" w:ascii="宋体" w:hAnsi="宋体" w:eastAsia="宋体" w:cs="宋体"/>
          <w:color w:val="auto"/>
        </w:rPr>
      </w:pPr>
      <w:r>
        <w:rPr>
          <w:rFonts w:hint="eastAsia" w:ascii="宋体" w:hAnsi="宋体" w:eastAsia="宋体" w:cs="宋体"/>
          <w:color w:val="auto"/>
        </w:rPr>
        <w:t>安全门控制是一个典型例子。当门处于打开状态时，门开关或传感器向PLC提供状态信号，控制程序据此禁止危险运动，避免人员接近加工区域时机床仍然运行。由此可见，PLC并不直接完成切削，而是通过对状态信号的判断和对执行元件的控制，保证各动作按照正确时序、安全地进行。</w:t>
      </w:r>
    </w:p>
    <w:p w14:paraId="3A63D041">
      <w:pPr>
        <w:pStyle w:val="4"/>
        <w:keepNext/>
        <w:rPr>
          <w:rFonts w:hint="eastAsia" w:ascii="宋体" w:hAnsi="宋体" w:eastAsia="宋体" w:cs="宋体"/>
          <w:color w:val="auto"/>
        </w:rPr>
      </w:pPr>
      <w:r>
        <w:rPr>
          <w:rFonts w:hint="eastAsia" w:ascii="宋体" w:hAnsi="宋体" w:eastAsia="宋体" w:cs="宋体"/>
          <w:color w:val="auto"/>
        </w:rPr>
        <w:t>4.2 中间继电器、接触器及线圈动作</w:t>
      </w:r>
    </w:p>
    <w:p w14:paraId="036CC12C">
      <w:pPr>
        <w:jc w:val="both"/>
        <w:rPr>
          <w:rFonts w:hint="eastAsia" w:ascii="宋体" w:hAnsi="宋体" w:eastAsia="宋体" w:cs="宋体"/>
          <w:color w:val="auto"/>
        </w:rPr>
      </w:pPr>
      <w:r>
        <w:rPr>
          <w:rFonts w:hint="eastAsia" w:ascii="宋体" w:hAnsi="宋体" w:eastAsia="宋体" w:cs="宋体"/>
          <w:color w:val="auto"/>
        </w:rPr>
        <w:t>课堂中还专门区分了中间继电器和接触器。电气图中KA通常表示中间继电器，主要用于控制信号的传递、隔离或触点扩展；KM表示接触器，主要用于接通和切断电动机等较大功率负载。PLC输出能力有限，因此常先驱动中间继电器，再由继电器触点控制接触器线圈。接触器线圈得电后产生电磁吸力，使主触点和辅助触点发生状态变化，主触点接通三相主电路，辅助触点则可用于自锁、互锁或状态反馈。这样就形成了由弱电控制强电的分级控制关系。</w:t>
      </w:r>
    </w:p>
    <w:p w14:paraId="17D3DE81">
      <w:pPr>
        <w:pStyle w:val="4"/>
        <w:keepNext/>
        <w:rPr>
          <w:rFonts w:hint="eastAsia" w:ascii="宋体" w:hAnsi="宋体" w:eastAsia="宋体" w:cs="宋体"/>
          <w:color w:val="auto"/>
        </w:rPr>
      </w:pPr>
      <w:r>
        <w:rPr>
          <w:rFonts w:hint="eastAsia" w:ascii="宋体" w:hAnsi="宋体" w:eastAsia="宋体" w:cs="宋体"/>
          <w:color w:val="auto"/>
        </w:rPr>
        <w:t>4.3 三相电机正反转与互锁</w:t>
      </w:r>
    </w:p>
    <w:p w14:paraId="0D06264C">
      <w:pPr>
        <w:jc w:val="both"/>
        <w:rPr>
          <w:rFonts w:hint="eastAsia" w:ascii="宋体" w:hAnsi="宋体" w:eastAsia="宋体" w:cs="宋体"/>
          <w:color w:val="auto"/>
        </w:rPr>
      </w:pPr>
      <w:r>
        <w:rPr>
          <w:rFonts w:hint="eastAsia" w:ascii="宋体" w:hAnsi="宋体" w:eastAsia="宋体" w:cs="宋体"/>
          <w:color w:val="auto"/>
        </w:rPr>
        <w:t>三相异步电动机改变任意两相的相序即可改变旋转方向。课堂电路以两个接触器分别承担正转和反转控制，PLC根据程序输</w:t>
      </w:r>
      <w:bookmarkStart w:id="0" w:name="_GoBack"/>
      <w:bookmarkEnd w:id="0"/>
      <w:r>
        <w:rPr>
          <w:rFonts w:hint="eastAsia" w:ascii="宋体" w:hAnsi="宋体" w:eastAsia="宋体" w:cs="宋体"/>
          <w:color w:val="auto"/>
        </w:rPr>
        <w:t>出相应Q信号，经KA中间继电器驱动KM接触器动作，从而改变电机主回路的接线状态。正、反转接触器不能同时吸合，否则会造成严重电气故障，因此电路中必须设置互锁：当正转接触器工作时，其辅助触点阻断反转接触器线圈回路；反转时同理。该部分把PLC程序、继电器、接触器和三相电机串联成了一个完整的控制链路，也是本次参观中电气控制知识最集中的内容。</w:t>
      </w:r>
    </w:p>
    <w:p w14:paraId="75C5956A">
      <w:pPr>
        <w:jc w:val="center"/>
        <w:rPr>
          <w:rFonts w:hint="eastAsia" w:ascii="宋体" w:hAnsi="宋体" w:eastAsia="宋体" w:cs="宋体"/>
          <w:color w:val="auto"/>
        </w:rPr>
      </w:pPr>
      <w:r>
        <w:rPr>
          <w:rFonts w:hint="eastAsia" w:ascii="宋体" w:hAnsi="宋体" w:eastAsia="宋体" w:cs="宋体"/>
          <w:color w:val="auto"/>
        </w:rPr>
        <w:drawing>
          <wp:inline distT="0" distB="0" distL="114300" distR="114300">
            <wp:extent cx="5471795" cy="2362200"/>
            <wp:effectExtent l="0" t="0" r="190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472000" cy="2362450"/>
                    </a:xfrm>
                    <a:prstGeom prst="rect">
                      <a:avLst/>
                    </a:prstGeom>
                  </pic:spPr>
                </pic:pic>
              </a:graphicData>
            </a:graphic>
          </wp:inline>
        </w:drawing>
      </w:r>
    </w:p>
    <w:p w14:paraId="3A41883E">
      <w:pPr>
        <w:keepNext/>
        <w:spacing w:before="40" w:after="100"/>
        <w:ind w:firstLine="0"/>
        <w:jc w:val="center"/>
        <w:rPr>
          <w:rFonts w:hint="eastAsia" w:ascii="宋体" w:hAnsi="宋体" w:eastAsia="宋体" w:cs="宋体"/>
          <w:color w:val="auto"/>
        </w:rPr>
      </w:pPr>
      <w:r>
        <w:rPr>
          <w:rFonts w:hint="eastAsia" w:ascii="宋体" w:hAnsi="宋体" w:eastAsia="宋体" w:cs="宋体"/>
          <w:color w:val="auto"/>
          <w:sz w:val="21"/>
        </w:rPr>
        <w:t>图2 PLC控制三相电机正反转原理简图</w:t>
      </w:r>
    </w:p>
    <w:p w14:paraId="79A0FCE3">
      <w:pPr>
        <w:keepNext/>
        <w:ind w:firstLine="0"/>
        <w:jc w:val="center"/>
        <w:rPr>
          <w:rFonts w:hint="eastAsia" w:ascii="宋体" w:hAnsi="宋体" w:eastAsia="宋体" w:cs="宋体"/>
          <w:color w:val="auto"/>
        </w:rPr>
      </w:pPr>
      <w:r>
        <w:rPr>
          <w:rFonts w:hint="eastAsia" w:ascii="宋体" w:hAnsi="宋体" w:eastAsia="宋体" w:cs="宋体"/>
          <w:color w:val="auto"/>
          <w:sz w:val="21"/>
        </w:rPr>
        <w:t>表2 课堂电气控制符号与作用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54"/>
        <w:gridCol w:w="3154"/>
        <w:gridCol w:w="3154"/>
      </w:tblGrid>
      <w:tr w14:paraId="25408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5D457292">
            <w:pPr>
              <w:spacing w:after="0"/>
              <w:ind w:firstLine="0"/>
              <w:jc w:val="center"/>
              <w:rPr>
                <w:rFonts w:hint="eastAsia" w:ascii="宋体" w:hAnsi="宋体" w:eastAsia="宋体" w:cs="宋体"/>
                <w:color w:val="auto"/>
              </w:rPr>
            </w:pPr>
            <w:r>
              <w:rPr>
                <w:rFonts w:hint="eastAsia" w:ascii="宋体" w:hAnsi="宋体" w:eastAsia="宋体" w:cs="宋体"/>
                <w:color w:val="auto"/>
                <w:sz w:val="20"/>
              </w:rPr>
              <w:t>符号/地址</w:t>
            </w:r>
          </w:p>
        </w:tc>
        <w:tc>
          <w:tcPr>
            <w:tcW w:w="3154" w:type="dxa"/>
            <w:vAlign w:val="center"/>
          </w:tcPr>
          <w:p w14:paraId="7E71BF47">
            <w:pPr>
              <w:spacing w:after="0"/>
              <w:ind w:firstLine="0"/>
              <w:jc w:val="center"/>
              <w:rPr>
                <w:rFonts w:hint="eastAsia" w:ascii="宋体" w:hAnsi="宋体" w:eastAsia="宋体" w:cs="宋体"/>
                <w:color w:val="auto"/>
              </w:rPr>
            </w:pPr>
            <w:r>
              <w:rPr>
                <w:rFonts w:hint="eastAsia" w:ascii="宋体" w:hAnsi="宋体" w:eastAsia="宋体" w:cs="宋体"/>
                <w:color w:val="auto"/>
                <w:sz w:val="20"/>
              </w:rPr>
              <w:t>对应对象</w:t>
            </w:r>
          </w:p>
        </w:tc>
        <w:tc>
          <w:tcPr>
            <w:tcW w:w="3154" w:type="dxa"/>
            <w:vAlign w:val="center"/>
          </w:tcPr>
          <w:p w14:paraId="3BFBE45B">
            <w:pPr>
              <w:spacing w:after="0"/>
              <w:ind w:firstLine="0"/>
              <w:jc w:val="center"/>
              <w:rPr>
                <w:rFonts w:hint="eastAsia" w:ascii="宋体" w:hAnsi="宋体" w:eastAsia="宋体" w:cs="宋体"/>
                <w:color w:val="auto"/>
              </w:rPr>
            </w:pPr>
            <w:r>
              <w:rPr>
                <w:rFonts w:hint="eastAsia" w:ascii="宋体" w:hAnsi="宋体" w:eastAsia="宋体" w:cs="宋体"/>
                <w:color w:val="auto"/>
                <w:sz w:val="20"/>
              </w:rPr>
              <w:t>作用说明</w:t>
            </w:r>
          </w:p>
        </w:tc>
      </w:tr>
      <w:tr w14:paraId="7B3797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28EC674D">
            <w:pPr>
              <w:spacing w:after="0"/>
              <w:ind w:firstLine="0"/>
              <w:jc w:val="center"/>
              <w:rPr>
                <w:rFonts w:hint="eastAsia" w:ascii="宋体" w:hAnsi="宋体" w:eastAsia="宋体" w:cs="宋体"/>
                <w:color w:val="auto"/>
              </w:rPr>
            </w:pPr>
            <w:r>
              <w:rPr>
                <w:rFonts w:hint="eastAsia" w:ascii="宋体" w:hAnsi="宋体" w:eastAsia="宋体" w:cs="宋体"/>
                <w:color w:val="auto"/>
                <w:sz w:val="20"/>
              </w:rPr>
              <w:t>I3.x～I8.x（示例）</w:t>
            </w:r>
          </w:p>
        </w:tc>
        <w:tc>
          <w:tcPr>
            <w:tcW w:w="3154" w:type="dxa"/>
            <w:vAlign w:val="center"/>
          </w:tcPr>
          <w:p w14:paraId="191D8949">
            <w:pPr>
              <w:spacing w:after="0"/>
              <w:ind w:firstLine="0"/>
              <w:jc w:val="center"/>
              <w:rPr>
                <w:rFonts w:hint="eastAsia" w:ascii="宋体" w:hAnsi="宋体" w:eastAsia="宋体" w:cs="宋体"/>
                <w:color w:val="auto"/>
              </w:rPr>
            </w:pPr>
            <w:r>
              <w:rPr>
                <w:rFonts w:hint="eastAsia" w:ascii="宋体" w:hAnsi="宋体" w:eastAsia="宋体" w:cs="宋体"/>
                <w:color w:val="auto"/>
                <w:sz w:val="20"/>
              </w:rPr>
              <w:t>PLC数字量输入</w:t>
            </w:r>
          </w:p>
        </w:tc>
        <w:tc>
          <w:tcPr>
            <w:tcW w:w="3154" w:type="dxa"/>
            <w:vAlign w:val="center"/>
          </w:tcPr>
          <w:p w14:paraId="238C6C00">
            <w:pPr>
              <w:spacing w:after="0"/>
              <w:ind w:firstLine="0"/>
              <w:jc w:val="center"/>
              <w:rPr>
                <w:rFonts w:hint="eastAsia" w:ascii="宋体" w:hAnsi="宋体" w:eastAsia="宋体" w:cs="宋体"/>
                <w:color w:val="auto"/>
              </w:rPr>
            </w:pPr>
            <w:r>
              <w:rPr>
                <w:rFonts w:hint="eastAsia" w:ascii="宋体" w:hAnsi="宋体" w:eastAsia="宋体" w:cs="宋体"/>
                <w:color w:val="auto"/>
                <w:sz w:val="20"/>
              </w:rPr>
              <w:t>接收传感器、按钮、安全门等现场状态信号</w:t>
            </w:r>
          </w:p>
        </w:tc>
      </w:tr>
      <w:tr w14:paraId="772686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23E601EE">
            <w:pPr>
              <w:spacing w:after="0"/>
              <w:ind w:firstLine="0"/>
              <w:jc w:val="center"/>
              <w:rPr>
                <w:rFonts w:hint="eastAsia" w:ascii="宋体" w:hAnsi="宋体" w:eastAsia="宋体" w:cs="宋体"/>
                <w:color w:val="auto"/>
              </w:rPr>
            </w:pPr>
            <w:r>
              <w:rPr>
                <w:rFonts w:hint="eastAsia" w:ascii="宋体" w:hAnsi="宋体" w:eastAsia="宋体" w:cs="宋体"/>
                <w:color w:val="auto"/>
                <w:sz w:val="20"/>
              </w:rPr>
              <w:t>Q3.4、Q3.5（课堂示例）</w:t>
            </w:r>
          </w:p>
        </w:tc>
        <w:tc>
          <w:tcPr>
            <w:tcW w:w="3154" w:type="dxa"/>
            <w:vAlign w:val="center"/>
          </w:tcPr>
          <w:p w14:paraId="37F1CB60">
            <w:pPr>
              <w:spacing w:after="0"/>
              <w:ind w:firstLine="0"/>
              <w:jc w:val="center"/>
              <w:rPr>
                <w:rFonts w:hint="eastAsia" w:ascii="宋体" w:hAnsi="宋体" w:eastAsia="宋体" w:cs="宋体"/>
                <w:color w:val="auto"/>
              </w:rPr>
            </w:pPr>
            <w:r>
              <w:rPr>
                <w:rFonts w:hint="eastAsia" w:ascii="宋体" w:hAnsi="宋体" w:eastAsia="宋体" w:cs="宋体"/>
                <w:color w:val="auto"/>
                <w:sz w:val="20"/>
              </w:rPr>
              <w:t>PLC数字量输出</w:t>
            </w:r>
          </w:p>
        </w:tc>
        <w:tc>
          <w:tcPr>
            <w:tcW w:w="3154" w:type="dxa"/>
            <w:vAlign w:val="center"/>
          </w:tcPr>
          <w:p w14:paraId="4C7233DE">
            <w:pPr>
              <w:spacing w:after="0"/>
              <w:ind w:firstLine="0"/>
              <w:jc w:val="center"/>
              <w:rPr>
                <w:rFonts w:hint="eastAsia" w:ascii="宋体" w:hAnsi="宋体" w:eastAsia="宋体" w:cs="宋体"/>
                <w:color w:val="auto"/>
              </w:rPr>
            </w:pPr>
            <w:r>
              <w:rPr>
                <w:rFonts w:hint="eastAsia" w:ascii="宋体" w:hAnsi="宋体" w:eastAsia="宋体" w:cs="宋体"/>
                <w:color w:val="auto"/>
                <w:sz w:val="20"/>
              </w:rPr>
              <w:t>向正/反转控制支路发出控制命令</w:t>
            </w:r>
          </w:p>
        </w:tc>
      </w:tr>
      <w:tr w14:paraId="2EB9A9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00A82E97">
            <w:pPr>
              <w:spacing w:after="0"/>
              <w:ind w:firstLine="0"/>
              <w:jc w:val="center"/>
              <w:rPr>
                <w:rFonts w:hint="eastAsia" w:ascii="宋体" w:hAnsi="宋体" w:eastAsia="宋体" w:cs="宋体"/>
                <w:color w:val="auto"/>
              </w:rPr>
            </w:pPr>
            <w:r>
              <w:rPr>
                <w:rFonts w:hint="eastAsia" w:ascii="宋体" w:hAnsi="宋体" w:eastAsia="宋体" w:cs="宋体"/>
                <w:color w:val="auto"/>
                <w:sz w:val="20"/>
              </w:rPr>
              <w:t>KA</w:t>
            </w:r>
          </w:p>
        </w:tc>
        <w:tc>
          <w:tcPr>
            <w:tcW w:w="3154" w:type="dxa"/>
            <w:vAlign w:val="center"/>
          </w:tcPr>
          <w:p w14:paraId="63AAD916">
            <w:pPr>
              <w:spacing w:after="0"/>
              <w:ind w:firstLine="0"/>
              <w:jc w:val="center"/>
              <w:rPr>
                <w:rFonts w:hint="eastAsia" w:ascii="宋体" w:hAnsi="宋体" w:eastAsia="宋体" w:cs="宋体"/>
                <w:color w:val="auto"/>
              </w:rPr>
            </w:pPr>
            <w:r>
              <w:rPr>
                <w:rFonts w:hint="eastAsia" w:ascii="宋体" w:hAnsi="宋体" w:eastAsia="宋体" w:cs="宋体"/>
                <w:color w:val="auto"/>
                <w:sz w:val="20"/>
              </w:rPr>
              <w:t>中间继电器</w:t>
            </w:r>
          </w:p>
        </w:tc>
        <w:tc>
          <w:tcPr>
            <w:tcW w:w="3154" w:type="dxa"/>
            <w:vAlign w:val="center"/>
          </w:tcPr>
          <w:p w14:paraId="0142D673">
            <w:pPr>
              <w:spacing w:after="0"/>
              <w:ind w:firstLine="0"/>
              <w:jc w:val="center"/>
              <w:rPr>
                <w:rFonts w:hint="eastAsia" w:ascii="宋体" w:hAnsi="宋体" w:eastAsia="宋体" w:cs="宋体"/>
                <w:color w:val="auto"/>
              </w:rPr>
            </w:pPr>
            <w:r>
              <w:rPr>
                <w:rFonts w:hint="eastAsia" w:ascii="宋体" w:hAnsi="宋体" w:eastAsia="宋体" w:cs="宋体"/>
                <w:color w:val="auto"/>
                <w:sz w:val="20"/>
              </w:rPr>
              <w:t>传递、隔离控制信号并扩展触点</w:t>
            </w:r>
          </w:p>
        </w:tc>
      </w:tr>
      <w:tr w14:paraId="02C24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713DC3E7">
            <w:pPr>
              <w:spacing w:after="0"/>
              <w:ind w:firstLine="0"/>
              <w:jc w:val="center"/>
              <w:rPr>
                <w:rFonts w:hint="eastAsia" w:ascii="宋体" w:hAnsi="宋体" w:eastAsia="宋体" w:cs="宋体"/>
                <w:color w:val="auto"/>
              </w:rPr>
            </w:pPr>
            <w:r>
              <w:rPr>
                <w:rFonts w:hint="eastAsia" w:ascii="宋体" w:hAnsi="宋体" w:eastAsia="宋体" w:cs="宋体"/>
                <w:color w:val="auto"/>
                <w:sz w:val="20"/>
              </w:rPr>
              <w:t>KM</w:t>
            </w:r>
          </w:p>
        </w:tc>
        <w:tc>
          <w:tcPr>
            <w:tcW w:w="3154" w:type="dxa"/>
            <w:vAlign w:val="center"/>
          </w:tcPr>
          <w:p w14:paraId="6431DE97">
            <w:pPr>
              <w:spacing w:after="0"/>
              <w:ind w:firstLine="0"/>
              <w:jc w:val="center"/>
              <w:rPr>
                <w:rFonts w:hint="eastAsia" w:ascii="宋体" w:hAnsi="宋体" w:eastAsia="宋体" w:cs="宋体"/>
                <w:color w:val="auto"/>
              </w:rPr>
            </w:pPr>
            <w:r>
              <w:rPr>
                <w:rFonts w:hint="eastAsia" w:ascii="宋体" w:hAnsi="宋体" w:eastAsia="宋体" w:cs="宋体"/>
                <w:color w:val="auto"/>
                <w:sz w:val="20"/>
              </w:rPr>
              <w:t>接触器</w:t>
            </w:r>
          </w:p>
        </w:tc>
        <w:tc>
          <w:tcPr>
            <w:tcW w:w="3154" w:type="dxa"/>
            <w:vAlign w:val="center"/>
          </w:tcPr>
          <w:p w14:paraId="3BA0E6F5">
            <w:pPr>
              <w:spacing w:after="0"/>
              <w:ind w:firstLine="0"/>
              <w:jc w:val="center"/>
              <w:rPr>
                <w:rFonts w:hint="eastAsia" w:ascii="宋体" w:hAnsi="宋体" w:eastAsia="宋体" w:cs="宋体"/>
                <w:color w:val="auto"/>
              </w:rPr>
            </w:pPr>
            <w:r>
              <w:rPr>
                <w:rFonts w:hint="eastAsia" w:ascii="宋体" w:hAnsi="宋体" w:eastAsia="宋体" w:cs="宋体"/>
                <w:color w:val="auto"/>
                <w:sz w:val="20"/>
              </w:rPr>
              <w:t>线圈得电后驱动主触点，控制三相电机主回路</w:t>
            </w:r>
          </w:p>
        </w:tc>
      </w:tr>
      <w:tr w14:paraId="49B4F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54" w:type="dxa"/>
            <w:vAlign w:val="center"/>
          </w:tcPr>
          <w:p w14:paraId="6833E011">
            <w:pPr>
              <w:spacing w:after="0"/>
              <w:ind w:firstLine="0"/>
              <w:jc w:val="center"/>
              <w:rPr>
                <w:rFonts w:hint="eastAsia" w:ascii="宋体" w:hAnsi="宋体" w:eastAsia="宋体" w:cs="宋体"/>
                <w:color w:val="auto"/>
              </w:rPr>
            </w:pPr>
            <w:r>
              <w:rPr>
                <w:rFonts w:hint="eastAsia" w:ascii="宋体" w:hAnsi="宋体" w:eastAsia="宋体" w:cs="宋体"/>
                <w:color w:val="auto"/>
                <w:sz w:val="20"/>
              </w:rPr>
              <w:t>互锁触点</w:t>
            </w:r>
          </w:p>
        </w:tc>
        <w:tc>
          <w:tcPr>
            <w:tcW w:w="3154" w:type="dxa"/>
            <w:vAlign w:val="center"/>
          </w:tcPr>
          <w:p w14:paraId="7B28263F">
            <w:pPr>
              <w:spacing w:after="0"/>
              <w:ind w:firstLine="0"/>
              <w:jc w:val="center"/>
              <w:rPr>
                <w:rFonts w:hint="eastAsia" w:ascii="宋体" w:hAnsi="宋体" w:eastAsia="宋体" w:cs="宋体"/>
                <w:color w:val="auto"/>
              </w:rPr>
            </w:pPr>
            <w:r>
              <w:rPr>
                <w:rFonts w:hint="eastAsia" w:ascii="宋体" w:hAnsi="宋体" w:eastAsia="宋体" w:cs="宋体"/>
                <w:color w:val="auto"/>
                <w:sz w:val="20"/>
              </w:rPr>
              <w:t>正/反转接触器辅助触点</w:t>
            </w:r>
          </w:p>
        </w:tc>
        <w:tc>
          <w:tcPr>
            <w:tcW w:w="3154" w:type="dxa"/>
            <w:vAlign w:val="center"/>
          </w:tcPr>
          <w:p w14:paraId="61534D86">
            <w:pPr>
              <w:spacing w:after="0"/>
              <w:ind w:firstLine="0"/>
              <w:jc w:val="center"/>
              <w:rPr>
                <w:rFonts w:hint="eastAsia" w:ascii="宋体" w:hAnsi="宋体" w:eastAsia="宋体" w:cs="宋体"/>
                <w:color w:val="auto"/>
              </w:rPr>
            </w:pPr>
            <w:r>
              <w:rPr>
                <w:rFonts w:hint="eastAsia" w:ascii="宋体" w:hAnsi="宋体" w:eastAsia="宋体" w:cs="宋体"/>
                <w:color w:val="auto"/>
                <w:sz w:val="20"/>
              </w:rPr>
              <w:t>防止正、反转接触器同时吸合</w:t>
            </w:r>
          </w:p>
        </w:tc>
      </w:tr>
    </w:tbl>
    <w:p w14:paraId="264BA948">
      <w:pPr>
        <w:pStyle w:val="3"/>
        <w:keepNext/>
        <w:rPr>
          <w:rFonts w:hint="eastAsia" w:ascii="宋体" w:hAnsi="宋体" w:eastAsia="宋体" w:cs="宋体"/>
          <w:color w:val="auto"/>
        </w:rPr>
      </w:pPr>
      <w:r>
        <w:rPr>
          <w:rFonts w:hint="eastAsia" w:ascii="宋体" w:hAnsi="宋体" w:eastAsia="宋体" w:cs="宋体"/>
          <w:color w:val="auto"/>
        </w:rPr>
        <w:t>5 伺服驱动与位置反馈</w:t>
      </w:r>
    </w:p>
    <w:p w14:paraId="7B074A85">
      <w:pPr>
        <w:jc w:val="both"/>
        <w:rPr>
          <w:rFonts w:hint="eastAsia" w:ascii="宋体" w:hAnsi="宋体" w:eastAsia="宋体" w:cs="宋体"/>
          <w:color w:val="auto"/>
        </w:rPr>
      </w:pPr>
      <w:r>
        <w:rPr>
          <w:rFonts w:hint="eastAsia" w:ascii="宋体" w:hAnsi="宋体" w:eastAsia="宋体" w:cs="宋体"/>
          <w:color w:val="auto"/>
        </w:rPr>
        <w:t>加工中心对位置精度的要求较高，因此进给轴不能只依靠“给电机通电”来控制运动，而需要伺服驱动与反馈环节。数控或运动控制器给出位置、速度等指令，伺服驱动器根据指令向交流伺服电机提供合适的驱动电流，电机经联轴器和丝杠带动工作台运动。编码器检测电机轴的位置或速度，并把反馈信号返回控制器。控制器将目标值与实际反馈值进行比较后继续修正输出，从而形成闭环控制。与简单开环驱动相比，这种方式能够及时发现位置偏差并进行补偿，是数控机床实现精确进给的重要基础。</w:t>
      </w:r>
    </w:p>
    <w:p w14:paraId="541903EB">
      <w:pPr>
        <w:jc w:val="center"/>
        <w:rPr>
          <w:rFonts w:hint="eastAsia" w:ascii="宋体" w:hAnsi="宋体" w:eastAsia="宋体" w:cs="宋体"/>
          <w:color w:val="auto"/>
        </w:rPr>
      </w:pPr>
      <w:r>
        <w:rPr>
          <w:rFonts w:hint="eastAsia" w:ascii="宋体" w:hAnsi="宋体" w:eastAsia="宋体" w:cs="宋体"/>
          <w:color w:val="auto"/>
        </w:rPr>
        <w:drawing>
          <wp:inline distT="0" distB="0" distL="114300" distR="114300">
            <wp:extent cx="5327650" cy="2358390"/>
            <wp:effectExtent l="0" t="0" r="635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328000" cy="2358595"/>
                    </a:xfrm>
                    <a:prstGeom prst="rect">
                      <a:avLst/>
                    </a:prstGeom>
                  </pic:spPr>
                </pic:pic>
              </a:graphicData>
            </a:graphic>
          </wp:inline>
        </w:drawing>
      </w:r>
    </w:p>
    <w:p w14:paraId="10FFD003">
      <w:pPr>
        <w:keepNext/>
        <w:spacing w:before="40" w:after="100"/>
        <w:ind w:firstLine="0"/>
        <w:jc w:val="center"/>
        <w:rPr>
          <w:rFonts w:hint="eastAsia" w:ascii="宋体" w:hAnsi="宋体" w:eastAsia="宋体" w:cs="宋体"/>
          <w:color w:val="auto"/>
        </w:rPr>
      </w:pPr>
      <w:r>
        <w:rPr>
          <w:rFonts w:hint="eastAsia" w:ascii="宋体" w:hAnsi="宋体" w:eastAsia="宋体" w:cs="宋体"/>
          <w:color w:val="auto"/>
          <w:sz w:val="21"/>
        </w:rPr>
        <w:t>图3 伺服进给闭环控制原理简图</w:t>
      </w:r>
    </w:p>
    <w:p w14:paraId="2C9212FB">
      <w:pPr>
        <w:pStyle w:val="3"/>
        <w:keepNext/>
        <w:rPr>
          <w:rFonts w:hint="eastAsia" w:ascii="宋体" w:hAnsi="宋体" w:eastAsia="宋体" w:cs="宋体"/>
          <w:color w:val="auto"/>
        </w:rPr>
      </w:pPr>
      <w:r>
        <w:rPr>
          <w:rFonts w:hint="eastAsia" w:ascii="宋体" w:hAnsi="宋体" w:eastAsia="宋体" w:cs="宋体"/>
          <w:color w:val="auto"/>
        </w:rPr>
        <w:t>6 数控加工中心整体工作过程</w:t>
      </w:r>
    </w:p>
    <w:p w14:paraId="0C593327">
      <w:pPr>
        <w:jc w:val="both"/>
        <w:rPr>
          <w:rFonts w:hint="eastAsia" w:ascii="宋体" w:hAnsi="宋体" w:eastAsia="宋体" w:cs="宋体"/>
          <w:color w:val="auto"/>
        </w:rPr>
      </w:pPr>
      <w:r>
        <w:rPr>
          <w:rFonts w:hint="eastAsia" w:ascii="宋体" w:hAnsi="宋体" w:eastAsia="宋体" w:cs="宋体"/>
          <w:color w:val="auto"/>
        </w:rPr>
        <w:t>加工开始前，操作者完成工件装夹、刀具准备和加工程序输入，并检查安全门等条件。数控系统读取程序后，根据加工轨迹向主轴和各进给轴发出运动指令；伺服驱动器控制X、Y、Z轴到达指定位置，主轴按设定转速带动刀具切削。当需要更换工序时，控制系统先完成主轴停转、位置确认等准备动作，再由PLC控制刀库和换刀机构执行换刀。加工过程中，传感器持续反馈安全门、刀位和机构到位等状态，PLC根据这些信号决定下一步动作是否允许执行。冷却和排屑系统同时配合工作。经过多道工序后，程序结束，各轴回到规定位置，形成从程序指令、运动执行、状态检测到逻辑联锁的完整自动加工过程。</w:t>
      </w:r>
    </w:p>
    <w:p w14:paraId="759887AD">
      <w:pPr>
        <w:pStyle w:val="3"/>
        <w:keepNext/>
        <w:rPr>
          <w:rFonts w:hint="eastAsia" w:ascii="宋体" w:hAnsi="宋体" w:eastAsia="宋体" w:cs="宋体"/>
          <w:color w:val="auto"/>
        </w:rPr>
      </w:pPr>
      <w:r>
        <w:rPr>
          <w:rFonts w:hint="eastAsia" w:ascii="宋体" w:hAnsi="宋体" w:eastAsia="宋体" w:cs="宋体"/>
          <w:color w:val="auto"/>
        </w:rPr>
        <w:t>7 实习认识与总结</w:t>
      </w:r>
    </w:p>
    <w:p w14:paraId="52A7A32D">
      <w:pPr>
        <w:jc w:val="both"/>
        <w:rPr>
          <w:rFonts w:hint="eastAsia" w:ascii="宋体" w:hAnsi="宋体" w:eastAsia="宋体" w:cs="宋体"/>
          <w:color w:val="auto"/>
        </w:rPr>
      </w:pPr>
      <w:r>
        <w:rPr>
          <w:rFonts w:hint="eastAsia" w:ascii="宋体" w:hAnsi="宋体" w:eastAsia="宋体" w:cs="宋体"/>
          <w:color w:val="auto"/>
        </w:rPr>
        <w:t>通过本次数控加工中心参观，我对机床的认识由单纯的“机械设备”扩展为机械、电气和控制相互耦合的系统。丝杠把电机旋转转换为直线运动，伺服系统通过编码器反馈保证位置精度；PLC利用I/O信号掌握现场状态，并通过中间继电器和接触器控制辅助电机及机构；互锁和安全门信号则保证设备只有在安全条件满足时才能运行。加工中心一次装夹、多工序加工和自动换刀的高效率，本质上依赖各机械结构与控制环节的协同。此次实习为后续学习机电传动控制、PLC、机械设计及数控技术建立了直观的工程认识。</w:t>
      </w:r>
    </w:p>
    <w:p w14:paraId="5E33D05C">
      <w:pPr>
        <w:spacing w:before="200"/>
        <w:ind w:firstLine="0"/>
        <w:rPr>
          <w:rFonts w:hint="eastAsia" w:ascii="宋体" w:hAnsi="宋体" w:eastAsia="宋体" w:cs="宋体"/>
          <w:color w:val="auto"/>
        </w:rPr>
      </w:pPr>
    </w:p>
    <w:sectPr>
      <w:footerReference r:id="rId5" w:type="default"/>
      <w:pgSz w:w="12240" w:h="15840"/>
      <w:pgMar w:top="1191" w:right="1304" w:bottom="1134" w:left="147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仓耳渔阳体 W03"/>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Noto Serif CJK SC">
    <w:altName w:val="FFont-Family"/>
    <w:panose1 w:val="00000000000000000000"/>
    <w:charset w:val="00"/>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仓耳渔阳体 W03">
    <w:panose1 w:val="02020400000000000000"/>
    <w:charset w:val="80"/>
    <w:family w:val="auto"/>
    <w:pitch w:val="default"/>
    <w:sig w:usb0="80000023" w:usb1="08C10458" w:usb2="00000012" w:usb3="00000000" w:csb0="00020001" w:csb1="0000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FB03A4">
    <w:pPr>
      <w:pStyle w:val="24"/>
      <w:ind w:firstLine="0"/>
      <w:jc w:val="center"/>
    </w:pPr>
    <w:r>
      <w:rPr>
        <w:sz w:val="18"/>
      </w:rPr>
      <w:t xml:space="preserve">第 </w:t>
    </w:r>
    <w:r>
      <w:rPr>
        <w:sz w:val="18"/>
      </w:rPr>
      <w:fldChar w:fldCharType="begin"/>
    </w:r>
    <w:r>
      <w:rPr>
        <w:sz w:val="18"/>
      </w:rPr>
      <w:instrText xml:space="preserve">PAGE</w:instrText>
    </w:r>
    <w:r>
      <w:rPr>
        <w:sz w:val="18"/>
      </w:rPr>
      <w:fldChar w:fldCharType="end"/>
    </w:r>
    <w:r>
      <w:rPr>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3" w:lineRule="auto"/>
      </w:pPr>
      <w:r>
        <w:separator/>
      </w:r>
    </w:p>
  </w:footnote>
  <w:footnote w:type="continuationSeparator" w:id="1">
    <w:p>
      <w:pPr>
        <w:spacing w:before="0" w:after="0" w:line="343"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7F3247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343" w:lineRule="auto"/>
      <w:ind w:firstLine="420"/>
    </w:pPr>
    <w:rPr>
      <w:rFonts w:ascii="Noto Serif CJK SC" w:hAnsi="Noto Serif CJK SC" w:eastAsia="Noto Serif CJK SC" w:cstheme="minorBidi"/>
      <w:sz w:val="24"/>
      <w:szCs w:val="22"/>
      <w:lang w:val="en-US" w:eastAsia="en-US" w:bidi="ar-SA"/>
    </w:rPr>
  </w:style>
  <w:style w:type="paragraph" w:styleId="3">
    <w:name w:val="heading 1"/>
    <w:basedOn w:val="1"/>
    <w:next w:val="1"/>
    <w:link w:val="138"/>
    <w:qFormat/>
    <w:uiPriority w:val="9"/>
    <w:pPr>
      <w:keepNext/>
      <w:keepLines/>
      <w:spacing w:before="200" w:after="100"/>
      <w:outlineLvl w:val="0"/>
    </w:pPr>
    <w:rPr>
      <w:rFonts w:asciiTheme="majorHAnsi" w:hAnsiTheme="majorHAnsi" w:eastAsiaTheme="majorEastAsia" w:cstheme="majorBidi"/>
      <w:b/>
      <w:bCs/>
      <w:color w:val="376092" w:themeColor="accent1" w:themeShade="BF"/>
      <w:sz w:val="30"/>
      <w:szCs w:val="28"/>
    </w:rPr>
  </w:style>
  <w:style w:type="paragraph" w:styleId="4">
    <w:name w:val="heading 2"/>
    <w:basedOn w:val="1"/>
    <w:next w:val="1"/>
    <w:link w:val="139"/>
    <w:unhideWhenUsed/>
    <w:qFormat/>
    <w:uiPriority w:val="9"/>
    <w:pPr>
      <w:keepNext/>
      <w:keepLines/>
      <w:spacing w:before="120" w:after="6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36"/>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6</Pages>
  <Words>1493</Words>
  <Characters>1514</Characters>
  <Lines>0</Lines>
  <Paragraphs>0</Paragraphs>
  <TotalTime>0</TotalTime>
  <ScaleCrop>false</ScaleCrop>
  <LinksUpToDate>false</LinksUpToDate>
  <CharactersWithSpaces>1526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赵启涵</dc:creator>
  <dc:description>generated by python-docx</dc:description>
  <cp:lastModifiedBy>赵启涵</cp:lastModifiedBy>
  <dcterms:modified xsi:type="dcterms:W3CDTF">2026-09-08T02:43:28Z</dcterms:modified>
  <dc:subject>认识实习 9.2 工训中心 数控加工中心</dc:subject>
  <dc:title>数控加工中心认识实习报告</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eyJoZGlkIjoiMmRmZjg0ZDQ3ZGM3NmYxZmE5ZDZjMjVlNjY0ZjM1NDYiLCJ1c2VySWQiOiI4MjI4ODkzODYifQ==</vt:lpwstr>
  </property>
  <property fmtid="{D5CDD505-2E9C-101B-9397-08002B2CF9AE}" pid="3" name="KSOProductBuildVer">
    <vt:lpwstr>2052-12.1.0.28505</vt:lpwstr>
  </property>
  <property fmtid="{D5CDD505-2E9C-101B-9397-08002B2CF9AE}" pid="4" name="ICV">
    <vt:lpwstr>5A726152B88A4E04A0BBA38F7D98EE8B_12</vt:lpwstr>
  </property>
</Properties>
</file>