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A1567">
      <w:pPr>
        <w:pStyle w:val="164"/>
        <w:spacing w:after="280"/>
        <w:jc w:val="center"/>
        <w:rPr>
          <w:rFonts w:hint="eastAsia" w:ascii="宋体" w:hAnsi="宋体" w:eastAsia="宋体" w:cs="宋体"/>
        </w:rPr>
      </w:pPr>
      <w:r>
        <w:rPr>
          <w:rFonts w:hint="eastAsia" w:ascii="宋体" w:hAnsi="宋体" w:eastAsia="宋体" w:cs="宋体"/>
        </w:rPr>
        <w:t>3D打印认识实习报告</w:t>
      </w:r>
    </w:p>
    <w:p w14:paraId="47700619">
      <w:pPr>
        <w:pStyle w:val="165"/>
        <w:keepNext/>
        <w:rPr>
          <w:rFonts w:hint="eastAsia" w:ascii="宋体" w:hAnsi="宋体" w:eastAsia="宋体" w:cs="宋体"/>
        </w:rPr>
      </w:pPr>
      <w:r>
        <w:rPr>
          <w:rFonts w:hint="eastAsia" w:ascii="宋体" w:hAnsi="宋体" w:eastAsia="宋体" w:cs="宋体"/>
        </w:rPr>
        <w:t>一、3D打印技术概述</w:t>
      </w:r>
    </w:p>
    <w:p w14:paraId="0B366F9C">
      <w:pPr>
        <w:rPr>
          <w:rFonts w:hint="eastAsia" w:ascii="宋体" w:hAnsi="宋体" w:eastAsia="宋体" w:cs="宋体"/>
        </w:rPr>
      </w:pPr>
      <w:r>
        <w:rPr>
          <w:rFonts w:hint="eastAsia" w:ascii="宋体" w:hAnsi="宋体" w:eastAsia="宋体" w:cs="宋体"/>
        </w:rPr>
        <w:t>3D打印又称增材制造，是利用数字模型驱动设备，将材料按既定路径逐层增加并最终形成三维实体的制造方法。与车削、铣削等通过去除材料获得零件的减材制造不同，3D打印的核心在于把复杂三维几何转化为可以逐层执行的制造任务。在9月2日的课堂讲解中，老师用“降维—升维”的思路解释这一过程：先把三维模型分解成二维层片，必要时进一步转化为线或点的运动路径，再通过逐层成型把这些离散层重新堆积为三维实体。这一思想使复杂曲面、内部结构和小批量个性化零件能够在不依赖复杂专用模具的情况下制造，也体现了数字设计与自动制造之间的直接联系。</w:t>
      </w:r>
    </w:p>
    <w:p w14:paraId="28642B53">
      <w:pPr>
        <w:pStyle w:val="165"/>
        <w:keepNext/>
        <w:rPr>
          <w:rFonts w:hint="eastAsia" w:ascii="宋体" w:hAnsi="宋体" w:eastAsia="宋体" w:cs="宋体"/>
        </w:rPr>
      </w:pPr>
      <w:r>
        <w:rPr>
          <w:rFonts w:hint="eastAsia" w:ascii="宋体" w:hAnsi="宋体" w:eastAsia="宋体" w:cs="宋体"/>
        </w:rPr>
        <w:t>二、3D打印的工作原理</w:t>
      </w:r>
    </w:p>
    <w:p w14:paraId="0EEC38DD">
      <w:pPr>
        <w:rPr>
          <w:rFonts w:hint="eastAsia" w:ascii="宋体" w:hAnsi="宋体" w:eastAsia="宋体" w:cs="宋体"/>
        </w:rPr>
      </w:pPr>
      <w:r>
        <w:rPr>
          <w:rFonts w:hint="eastAsia" w:ascii="宋体" w:hAnsi="宋体" w:eastAsia="宋体" w:cs="宋体"/>
        </w:rPr>
        <w:t>按照实习报告提纲，3D打印工作原理应说明四个典型步骤及其作用。结合课堂内容，可将完整流程归纳为三维建模、分层切片、路径规划与代码生成、逐层成型四个环节。四个环节并不是彼此独立，而是把“设计信息”逐步转化为“设备运动和材料成型”的连续过程。</w:t>
      </w:r>
    </w:p>
    <w:p w14:paraId="09024A4A">
      <w:pPr>
        <w:pStyle w:val="166"/>
        <w:keepNext/>
        <w:rPr>
          <w:rFonts w:hint="eastAsia" w:ascii="宋体" w:hAnsi="宋体" w:eastAsia="宋体" w:cs="宋体"/>
        </w:rPr>
      </w:pPr>
      <w:r>
        <w:rPr>
          <w:rFonts w:hint="eastAsia" w:ascii="宋体" w:hAnsi="宋体" w:eastAsia="宋体" w:cs="宋体"/>
        </w:rPr>
        <w:t>（一）三维数字模型建立</w:t>
      </w:r>
    </w:p>
    <w:p w14:paraId="06C5141C">
      <w:pPr>
        <w:rPr>
          <w:rFonts w:hint="eastAsia" w:ascii="宋体" w:hAnsi="宋体" w:eastAsia="宋体" w:cs="宋体"/>
        </w:rPr>
      </w:pPr>
      <w:r>
        <w:rPr>
          <w:rFonts w:hint="eastAsia" w:ascii="宋体" w:hAnsi="宋体" w:eastAsia="宋体" w:cs="宋体"/>
        </w:rPr>
        <w:t>首先建立待打印零件的三维数字模型。模型既可以通过SolidWorks、Rhino等三维软件正向设计，也可以由三维扫描获得点云后进行逆向建模，还可以使用已有的公开数字模型。其作用是给出零件的几何边界和尺寸信息，为后续切片与路径计算提供统一的数据基础。没有准确的数字模型，后续打印轨迹就无从生成。</w:t>
      </w:r>
    </w:p>
    <w:p w14:paraId="36279B21">
      <w:pPr>
        <w:pStyle w:val="166"/>
        <w:keepNext/>
        <w:rPr>
          <w:rFonts w:hint="eastAsia" w:ascii="宋体" w:hAnsi="宋体" w:eastAsia="宋体" w:cs="宋体"/>
        </w:rPr>
      </w:pPr>
      <w:r>
        <w:rPr>
          <w:rFonts w:hint="eastAsia" w:ascii="宋体" w:hAnsi="宋体" w:eastAsia="宋体" w:cs="宋体"/>
        </w:rPr>
        <w:t>（二）分层切片</w:t>
      </w:r>
    </w:p>
    <w:p w14:paraId="324B7B73">
      <w:pPr>
        <w:rPr>
          <w:rFonts w:hint="eastAsia" w:ascii="宋体" w:hAnsi="宋体" w:eastAsia="宋体" w:cs="宋体"/>
        </w:rPr>
      </w:pPr>
      <w:r>
        <w:rPr>
          <w:rFonts w:hint="eastAsia" w:ascii="宋体" w:hAnsi="宋体" w:eastAsia="宋体" w:cs="宋体"/>
        </w:rPr>
        <w:t>三维模型建立后，需要按照设定层厚沿高度方向进行分层，将连续的三维几何分解为许多二维截面。课堂中老师将其类比于微积分中的微元思想：层厚Δ越小，每一层对真实曲面的逼近越细，通常能够获得更好的表面和尺寸精度，但层数也会增加，打印时间随之延长。分层切片的作用，就是把难以一次完成的三维制造问题转换为大量可重复执行的二维成型问题。</w:t>
      </w:r>
    </w:p>
    <w:p w14:paraId="414147C3">
      <w:pPr>
        <w:pStyle w:val="166"/>
        <w:keepNext/>
        <w:rPr>
          <w:rFonts w:hint="eastAsia" w:ascii="宋体" w:hAnsi="宋体" w:eastAsia="宋体" w:cs="宋体"/>
        </w:rPr>
      </w:pPr>
      <w:r>
        <w:rPr>
          <w:rFonts w:hint="eastAsia" w:ascii="宋体" w:hAnsi="宋体" w:eastAsia="宋体" w:cs="宋体"/>
        </w:rPr>
        <w:t>（三）路径规划与打印指令生成</w:t>
      </w:r>
    </w:p>
    <w:p w14:paraId="52C937FA">
      <w:pPr>
        <w:rPr>
          <w:rFonts w:hint="eastAsia" w:ascii="宋体" w:hAnsi="宋体" w:eastAsia="宋体" w:cs="宋体"/>
        </w:rPr>
      </w:pPr>
      <w:r>
        <w:rPr>
          <w:rFonts w:hint="eastAsia" w:ascii="宋体" w:hAnsi="宋体" w:eastAsia="宋体" w:cs="宋体"/>
        </w:rPr>
        <w:t>切片之后，软件还需确定每一层的轮廓、填充方式和运动顺序，例如采用S形或回字形填充。不同路径会影响打印时间、材料用量和零件内部强度。切片软件随后把轨迹转换成设备能够执行的运动指令，课堂中将其与数控加工中的G代码作了类比。该步骤的作用是把几何信息进一步转化为X、Y、Z轴运动以及挤出、曝光或激光扫描等具体动作。</w:t>
      </w:r>
    </w:p>
    <w:p w14:paraId="47510191">
      <w:pPr>
        <w:pStyle w:val="166"/>
        <w:keepNext/>
        <w:rPr>
          <w:rFonts w:hint="eastAsia" w:ascii="宋体" w:hAnsi="宋体" w:eastAsia="宋体" w:cs="宋体"/>
        </w:rPr>
      </w:pPr>
      <w:r>
        <w:rPr>
          <w:rFonts w:hint="eastAsia" w:ascii="宋体" w:hAnsi="宋体" w:eastAsia="宋体" w:cs="宋体"/>
        </w:rPr>
        <w:t>（四）逐层成型</w:t>
      </w:r>
    </w:p>
    <w:p w14:paraId="029410F4">
      <w:pPr>
        <w:rPr>
          <w:rFonts w:hint="eastAsia" w:ascii="宋体" w:hAnsi="宋体" w:eastAsia="宋体" w:cs="宋体"/>
        </w:rPr>
      </w:pPr>
      <w:r>
        <w:rPr>
          <w:rFonts w:hint="eastAsia" w:ascii="宋体" w:hAnsi="宋体" w:eastAsia="宋体" w:cs="宋体"/>
        </w:rPr>
        <w:t>设备按照生成的路径完成当前层后，再沿Z方向移动一个层厚并加工下一层，循环直至整个零件完成。以FDM为例，喷头把熔融材料从一个点连续挤出形成线，多条线构成面，多个面沿高度方向堆积形成体。因此，前面的切片过程体现“降维”，实际制造过程体现“升维”。不同3D打印工艺的主要区别，也正是在“每一层采用什么方式成型”这一环节。</w:t>
      </w:r>
    </w:p>
    <w:p w14:paraId="0F2F7A90">
      <w:pPr>
        <w:ind w:firstLine="0"/>
        <w:jc w:val="center"/>
        <w:rPr>
          <w:rFonts w:hint="eastAsia" w:ascii="宋体" w:hAnsi="宋体" w:eastAsia="宋体" w:cs="宋体"/>
        </w:rPr>
      </w:pPr>
      <w:r>
        <w:rPr>
          <w:rFonts w:hint="eastAsia" w:ascii="宋体" w:hAnsi="宋体" w:eastAsia="宋体" w:cs="宋体"/>
        </w:rPr>
        <w:drawing>
          <wp:inline distT="0" distB="0" distL="114300" distR="114300">
            <wp:extent cx="5579745" cy="1636395"/>
            <wp:effectExtent l="0" t="0" r="825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1636959"/>
                    </a:xfrm>
                    <a:prstGeom prst="rect">
                      <a:avLst/>
                    </a:prstGeom>
                  </pic:spPr>
                </pic:pic>
              </a:graphicData>
            </a:graphic>
          </wp:inline>
        </w:drawing>
      </w:r>
    </w:p>
    <w:p w14:paraId="5F11EB7F">
      <w:pPr>
        <w:pStyle w:val="167"/>
        <w:jc w:val="center"/>
        <w:rPr>
          <w:rFonts w:hint="eastAsia" w:ascii="宋体" w:hAnsi="宋体" w:eastAsia="宋体" w:cs="宋体"/>
        </w:rPr>
      </w:pPr>
      <w:r>
        <w:rPr>
          <w:rFonts w:hint="eastAsia" w:ascii="宋体" w:hAnsi="宋体" w:eastAsia="宋体" w:cs="宋体"/>
        </w:rPr>
        <w:t>图1  3D打印基本流程与“降维—升维”原理简图</w:t>
      </w:r>
    </w:p>
    <w:p w14:paraId="03969C31">
      <w:pPr>
        <w:pStyle w:val="165"/>
        <w:keepNext/>
        <w:rPr>
          <w:rFonts w:hint="eastAsia" w:ascii="宋体" w:hAnsi="宋体" w:eastAsia="宋体" w:cs="宋体"/>
        </w:rPr>
      </w:pPr>
      <w:r>
        <w:rPr>
          <w:rFonts w:hint="eastAsia" w:ascii="宋体" w:hAnsi="宋体" w:eastAsia="宋体" w:cs="宋体"/>
        </w:rPr>
        <w:t>三、FDM、SLA与SLS三种打印工艺</w:t>
      </w:r>
    </w:p>
    <w:p w14:paraId="0E66AEA7">
      <w:pPr>
        <w:rPr>
          <w:rFonts w:hint="eastAsia" w:ascii="宋体" w:hAnsi="宋体" w:eastAsia="宋体" w:cs="宋体"/>
        </w:rPr>
      </w:pPr>
      <w:r>
        <w:rPr>
          <w:rFonts w:hint="eastAsia" w:ascii="宋体" w:hAnsi="宋体" w:eastAsia="宋体" w:cs="宋体"/>
        </w:rPr>
        <w:t>课堂重点比较了熔融沉积、光固化和粉末床三类成型方式。虽然三者都遵循“分层—逐层制造”的总体逻辑，但原料状态、单层成型方式、设备结构和后处理要求存在明显差异。</w:t>
      </w:r>
    </w:p>
    <w:p w14:paraId="6FEAB8D3">
      <w:pPr>
        <w:pStyle w:val="166"/>
        <w:keepNext/>
        <w:rPr>
          <w:rFonts w:hint="eastAsia" w:ascii="宋体" w:hAnsi="宋体" w:eastAsia="宋体" w:cs="宋体"/>
        </w:rPr>
      </w:pPr>
      <w:r>
        <w:rPr>
          <w:rFonts w:hint="eastAsia" w:ascii="宋体" w:hAnsi="宋体" w:eastAsia="宋体" w:cs="宋体"/>
        </w:rPr>
        <w:t>（一）FDM熔融沉积成型</w:t>
      </w:r>
    </w:p>
    <w:p w14:paraId="768B01B0">
      <w:pPr>
        <w:rPr>
          <w:rFonts w:hint="eastAsia" w:ascii="宋体" w:hAnsi="宋体" w:eastAsia="宋体" w:cs="宋体"/>
        </w:rPr>
      </w:pPr>
      <w:r>
        <w:rPr>
          <w:rFonts w:hint="eastAsia" w:ascii="宋体" w:hAnsi="宋体" w:eastAsia="宋体" w:cs="宋体"/>
        </w:rPr>
        <w:t>FDM使用PLA、ABS等热塑性丝材。丝材由送丝机构送入加热端，在喷嘴处熔融后按切片路径连续挤出；喷头或成型平台完成X、Y方向轨迹运动，一层完成后再沿Z方向移动一个层厚。材料离开喷嘴后迅速冷却固化，最终层层堆积成形。其优点是设备和耗材成本较低、操作简单、零件具有一定机械强度，打印完成后通常只需拆除支撑并进行简单打磨。缺点是层纹较明显，打印速度与精度之间存在权衡，精度还受到喷嘴尺寸、层厚和运动机构的限制。对于存在悬空部分的模型，往往需要额外设计支撑结构。</w:t>
      </w:r>
    </w:p>
    <w:p w14:paraId="215C0AA3">
      <w:pPr>
        <w:ind w:firstLine="0"/>
        <w:jc w:val="center"/>
        <w:rPr>
          <w:rFonts w:hint="eastAsia" w:ascii="宋体" w:hAnsi="宋体" w:eastAsia="宋体" w:cs="宋体"/>
        </w:rPr>
      </w:pPr>
      <w:bookmarkStart w:id="0" w:name="_GoBack"/>
      <w:r>
        <w:rPr>
          <w:rFonts w:hint="eastAsia" w:ascii="宋体" w:hAnsi="宋体" w:eastAsia="宋体" w:cs="宋体"/>
        </w:rPr>
        <w:drawing>
          <wp:inline distT="0" distB="0" distL="114300" distR="114300">
            <wp:extent cx="5327650" cy="2548890"/>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28000" cy="2549052"/>
                    </a:xfrm>
                    <a:prstGeom prst="rect">
                      <a:avLst/>
                    </a:prstGeom>
                  </pic:spPr>
                </pic:pic>
              </a:graphicData>
            </a:graphic>
          </wp:inline>
        </w:drawing>
      </w:r>
      <w:bookmarkEnd w:id="0"/>
    </w:p>
    <w:p w14:paraId="75234CAC">
      <w:pPr>
        <w:pStyle w:val="167"/>
        <w:jc w:val="center"/>
        <w:rPr>
          <w:rFonts w:hint="eastAsia" w:ascii="宋体" w:hAnsi="宋体" w:eastAsia="宋体" w:cs="宋体"/>
        </w:rPr>
      </w:pPr>
      <w:r>
        <w:rPr>
          <w:rFonts w:hint="eastAsia" w:ascii="宋体" w:hAnsi="宋体" w:eastAsia="宋体" w:cs="宋体"/>
        </w:rPr>
        <w:t>图2  FDM打印机基本结构与成型过程简图</w:t>
      </w:r>
    </w:p>
    <w:p w14:paraId="3621CE84">
      <w:pPr>
        <w:pStyle w:val="166"/>
        <w:keepNext/>
        <w:rPr>
          <w:rFonts w:hint="eastAsia" w:ascii="宋体" w:hAnsi="宋体" w:eastAsia="宋体" w:cs="宋体"/>
        </w:rPr>
      </w:pPr>
      <w:r>
        <w:rPr>
          <w:rFonts w:hint="eastAsia" w:ascii="宋体" w:hAnsi="宋体" w:eastAsia="宋体" w:cs="宋体"/>
        </w:rPr>
        <w:t>（二）SLA光固化成型</w:t>
      </w:r>
    </w:p>
    <w:p w14:paraId="583A2183">
      <w:pPr>
        <w:rPr>
          <w:rFonts w:hint="eastAsia" w:ascii="宋体" w:hAnsi="宋体" w:eastAsia="宋体" w:cs="宋体"/>
        </w:rPr>
      </w:pPr>
      <w:r>
        <w:rPr>
          <w:rFonts w:hint="eastAsia" w:ascii="宋体" w:hAnsi="宋体" w:eastAsia="宋体" w:cs="宋体"/>
        </w:rPr>
        <w:t>SLA以液态光敏树脂为原料，利用激光按照当前层截面进行选择性曝光，使被照射区域发生固化。一层完成后成型平台移动，再继续固化下一层。由于光斑和层厚可以较小，SLA通常能够获得较高的尺寸精度、较光滑的表面和丰富的细节，适用于外观要求高或结构较精细的模型。其不足是树脂成本较高，材料具有刺激性气味，使用时需要良好通风和规范防护；打印后还需清洗表面残余树脂、拆除支撑并进行紫外线二次固化，后处理比FDM复杂。课堂还扩展介绍了DLP面曝光和LCD光固化等方式，它们与SLA在光源和单层曝光方式上有所不同。</w:t>
      </w:r>
    </w:p>
    <w:p w14:paraId="160B00B0">
      <w:pPr>
        <w:pStyle w:val="166"/>
        <w:keepNext/>
        <w:rPr>
          <w:rFonts w:hint="eastAsia" w:ascii="宋体" w:hAnsi="宋体" w:eastAsia="宋体" w:cs="宋体"/>
        </w:rPr>
      </w:pPr>
      <w:r>
        <w:rPr>
          <w:rFonts w:hint="eastAsia" w:ascii="宋体" w:hAnsi="宋体" w:eastAsia="宋体" w:cs="宋体"/>
        </w:rPr>
        <w:t>（三）SLS：选择性激光烧结</w:t>
      </w:r>
    </w:p>
    <w:p w14:paraId="124A5FEB">
      <w:pPr>
        <w:rPr>
          <w:rFonts w:hint="eastAsia" w:ascii="宋体" w:hAnsi="宋体" w:eastAsia="宋体" w:cs="宋体"/>
        </w:rPr>
      </w:pPr>
      <w:r>
        <w:rPr>
          <w:rFonts w:hint="eastAsia" w:ascii="宋体" w:hAnsi="宋体" w:eastAsia="宋体" w:cs="宋体"/>
        </w:rPr>
        <w:t>SLS属于粉末床增材制造。打印前先在成型区域铺设一层粉末，激光根据切片截面进行选择性扫描，使指定区域的粉末发生烧结并形成当前层；随后平台下降并重新铺粉，再加工下一层。由于零件周围始终存在未成形粉末，粉末本身能够提供一定支撑，因此更适合制造复杂几何结构。其优点是复杂结构适应能力强、成型自由度高；不足是设备成本高、粉末铺设与回收处理较复杂，打印后需要清粉等后处理。课堂还将SLS与SLM作为粉末床工艺进行了扩展比较，说明二者在材料和能量作用方式上存在差别。</w:t>
      </w:r>
    </w:p>
    <w:p w14:paraId="38207AF7">
      <w:pPr>
        <w:pStyle w:val="167"/>
        <w:jc w:val="center"/>
        <w:rPr>
          <w:rFonts w:hint="eastAsia" w:ascii="宋体" w:hAnsi="宋体" w:eastAsia="宋体" w:cs="宋体"/>
        </w:rPr>
      </w:pPr>
      <w:r>
        <w:rPr>
          <w:rFonts w:hint="eastAsia" w:ascii="宋体" w:hAnsi="宋体" w:eastAsia="宋体" w:cs="宋体"/>
        </w:rPr>
        <w:t>表1  FDM、SLA、SLS工艺比较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7"/>
        <w:gridCol w:w="1567"/>
        <w:gridCol w:w="1567"/>
        <w:gridCol w:w="1567"/>
        <w:gridCol w:w="1567"/>
        <w:gridCol w:w="1567"/>
      </w:tblGrid>
      <w:tr w14:paraId="0AEB8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7" w:type="dxa"/>
            <w:vAlign w:val="center"/>
          </w:tcPr>
          <w:p w14:paraId="154BC9AC">
            <w:pPr>
              <w:spacing w:line="276" w:lineRule="auto"/>
              <w:ind w:firstLine="0"/>
              <w:jc w:val="center"/>
              <w:rPr>
                <w:rFonts w:hint="eastAsia" w:ascii="宋体" w:hAnsi="宋体" w:eastAsia="宋体" w:cs="宋体"/>
              </w:rPr>
            </w:pPr>
            <w:r>
              <w:rPr>
                <w:rFonts w:hint="eastAsia" w:ascii="宋体" w:hAnsi="宋体" w:eastAsia="宋体" w:cs="宋体"/>
                <w:b/>
                <w:sz w:val="18"/>
              </w:rPr>
              <w:t>工艺</w:t>
            </w:r>
          </w:p>
        </w:tc>
        <w:tc>
          <w:tcPr>
            <w:tcW w:w="1567" w:type="dxa"/>
            <w:vAlign w:val="center"/>
          </w:tcPr>
          <w:p w14:paraId="75D3BD30">
            <w:pPr>
              <w:spacing w:line="276" w:lineRule="auto"/>
              <w:ind w:firstLine="0"/>
              <w:jc w:val="center"/>
              <w:rPr>
                <w:rFonts w:hint="eastAsia" w:ascii="宋体" w:hAnsi="宋体" w:eastAsia="宋体" w:cs="宋体"/>
              </w:rPr>
            </w:pPr>
            <w:r>
              <w:rPr>
                <w:rFonts w:hint="eastAsia" w:ascii="宋体" w:hAnsi="宋体" w:eastAsia="宋体" w:cs="宋体"/>
                <w:b/>
                <w:sz w:val="18"/>
              </w:rPr>
              <w:t>主要原料状态</w:t>
            </w:r>
          </w:p>
        </w:tc>
        <w:tc>
          <w:tcPr>
            <w:tcW w:w="1567" w:type="dxa"/>
            <w:vAlign w:val="center"/>
          </w:tcPr>
          <w:p w14:paraId="6D5C7A0E">
            <w:pPr>
              <w:spacing w:line="276" w:lineRule="auto"/>
              <w:ind w:firstLine="0"/>
              <w:jc w:val="center"/>
              <w:rPr>
                <w:rFonts w:hint="eastAsia" w:ascii="宋体" w:hAnsi="宋体" w:eastAsia="宋体" w:cs="宋体"/>
              </w:rPr>
            </w:pPr>
            <w:r>
              <w:rPr>
                <w:rFonts w:hint="eastAsia" w:ascii="宋体" w:hAnsi="宋体" w:eastAsia="宋体" w:cs="宋体"/>
                <w:b/>
                <w:sz w:val="18"/>
              </w:rPr>
              <w:t>单层成型方式</w:t>
            </w:r>
          </w:p>
        </w:tc>
        <w:tc>
          <w:tcPr>
            <w:tcW w:w="1567" w:type="dxa"/>
            <w:vAlign w:val="center"/>
          </w:tcPr>
          <w:p w14:paraId="6CCF6BD6">
            <w:pPr>
              <w:spacing w:line="276" w:lineRule="auto"/>
              <w:ind w:firstLine="0"/>
              <w:jc w:val="center"/>
              <w:rPr>
                <w:rFonts w:hint="eastAsia" w:ascii="宋体" w:hAnsi="宋体" w:eastAsia="宋体" w:cs="宋体"/>
              </w:rPr>
            </w:pPr>
            <w:r>
              <w:rPr>
                <w:rFonts w:hint="eastAsia" w:ascii="宋体" w:hAnsi="宋体" w:eastAsia="宋体" w:cs="宋体"/>
                <w:b/>
                <w:sz w:val="18"/>
              </w:rPr>
              <w:t>主要优点</w:t>
            </w:r>
          </w:p>
        </w:tc>
        <w:tc>
          <w:tcPr>
            <w:tcW w:w="1567" w:type="dxa"/>
            <w:vAlign w:val="center"/>
          </w:tcPr>
          <w:p w14:paraId="2A44FC4B">
            <w:pPr>
              <w:spacing w:line="276" w:lineRule="auto"/>
              <w:ind w:firstLine="0"/>
              <w:jc w:val="center"/>
              <w:rPr>
                <w:rFonts w:hint="eastAsia" w:ascii="宋体" w:hAnsi="宋体" w:eastAsia="宋体" w:cs="宋体"/>
              </w:rPr>
            </w:pPr>
            <w:r>
              <w:rPr>
                <w:rFonts w:hint="eastAsia" w:ascii="宋体" w:hAnsi="宋体" w:eastAsia="宋体" w:cs="宋体"/>
                <w:b/>
                <w:sz w:val="18"/>
              </w:rPr>
              <w:t>主要不足</w:t>
            </w:r>
          </w:p>
        </w:tc>
        <w:tc>
          <w:tcPr>
            <w:tcW w:w="1567" w:type="dxa"/>
            <w:vAlign w:val="center"/>
          </w:tcPr>
          <w:p w14:paraId="7C74DD7E">
            <w:pPr>
              <w:spacing w:line="276" w:lineRule="auto"/>
              <w:ind w:firstLine="0"/>
              <w:jc w:val="center"/>
              <w:rPr>
                <w:rFonts w:hint="eastAsia" w:ascii="宋体" w:hAnsi="宋体" w:eastAsia="宋体" w:cs="宋体"/>
              </w:rPr>
            </w:pPr>
            <w:r>
              <w:rPr>
                <w:rFonts w:hint="eastAsia" w:ascii="宋体" w:hAnsi="宋体" w:eastAsia="宋体" w:cs="宋体"/>
                <w:b/>
                <w:sz w:val="18"/>
              </w:rPr>
              <w:t>典型后处理</w:t>
            </w:r>
          </w:p>
        </w:tc>
      </w:tr>
      <w:tr w14:paraId="4735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7" w:type="dxa"/>
            <w:vAlign w:val="center"/>
          </w:tcPr>
          <w:p w14:paraId="056F89A9">
            <w:pPr>
              <w:spacing w:line="276" w:lineRule="auto"/>
              <w:ind w:firstLine="0"/>
              <w:jc w:val="center"/>
              <w:rPr>
                <w:rFonts w:hint="eastAsia" w:ascii="宋体" w:hAnsi="宋体" w:eastAsia="宋体" w:cs="宋体"/>
              </w:rPr>
            </w:pPr>
            <w:r>
              <w:rPr>
                <w:rFonts w:hint="eastAsia" w:ascii="宋体" w:hAnsi="宋体" w:eastAsia="宋体" w:cs="宋体"/>
                <w:sz w:val="18"/>
              </w:rPr>
              <w:t>FDM</w:t>
            </w:r>
          </w:p>
        </w:tc>
        <w:tc>
          <w:tcPr>
            <w:tcW w:w="1567" w:type="dxa"/>
            <w:vAlign w:val="center"/>
          </w:tcPr>
          <w:p w14:paraId="511823BD">
            <w:pPr>
              <w:spacing w:line="276" w:lineRule="auto"/>
              <w:ind w:firstLine="0"/>
              <w:jc w:val="center"/>
              <w:rPr>
                <w:rFonts w:hint="eastAsia" w:ascii="宋体" w:hAnsi="宋体" w:eastAsia="宋体" w:cs="宋体"/>
              </w:rPr>
            </w:pPr>
            <w:r>
              <w:rPr>
                <w:rFonts w:hint="eastAsia" w:ascii="宋体" w:hAnsi="宋体" w:eastAsia="宋体" w:cs="宋体"/>
                <w:sz w:val="18"/>
              </w:rPr>
              <w:t>热塑性丝材</w:t>
            </w:r>
          </w:p>
        </w:tc>
        <w:tc>
          <w:tcPr>
            <w:tcW w:w="1567" w:type="dxa"/>
            <w:vAlign w:val="center"/>
          </w:tcPr>
          <w:p w14:paraId="6DE77BBA">
            <w:pPr>
              <w:spacing w:line="276" w:lineRule="auto"/>
              <w:ind w:firstLine="0"/>
              <w:jc w:val="center"/>
              <w:rPr>
                <w:rFonts w:hint="eastAsia" w:ascii="宋体" w:hAnsi="宋体" w:eastAsia="宋体" w:cs="宋体"/>
              </w:rPr>
            </w:pPr>
            <w:r>
              <w:rPr>
                <w:rFonts w:hint="eastAsia" w:ascii="宋体" w:hAnsi="宋体" w:eastAsia="宋体" w:cs="宋体"/>
                <w:sz w:val="18"/>
              </w:rPr>
              <w:t>熔融挤出、路径沉积</w:t>
            </w:r>
          </w:p>
        </w:tc>
        <w:tc>
          <w:tcPr>
            <w:tcW w:w="1567" w:type="dxa"/>
            <w:vAlign w:val="center"/>
          </w:tcPr>
          <w:p w14:paraId="72B29B77">
            <w:pPr>
              <w:spacing w:line="276" w:lineRule="auto"/>
              <w:ind w:firstLine="0"/>
              <w:jc w:val="center"/>
              <w:rPr>
                <w:rFonts w:hint="eastAsia" w:ascii="宋体" w:hAnsi="宋体" w:eastAsia="宋体" w:cs="宋体"/>
              </w:rPr>
            </w:pPr>
            <w:r>
              <w:rPr>
                <w:rFonts w:hint="eastAsia" w:ascii="宋体" w:hAnsi="宋体" w:eastAsia="宋体" w:cs="宋体"/>
                <w:sz w:val="18"/>
              </w:rPr>
              <w:t>成本低、操作简单、强度较好</w:t>
            </w:r>
          </w:p>
        </w:tc>
        <w:tc>
          <w:tcPr>
            <w:tcW w:w="1567" w:type="dxa"/>
            <w:vAlign w:val="center"/>
          </w:tcPr>
          <w:p w14:paraId="3F0C3494">
            <w:pPr>
              <w:spacing w:line="276" w:lineRule="auto"/>
              <w:ind w:firstLine="0"/>
              <w:jc w:val="center"/>
              <w:rPr>
                <w:rFonts w:hint="eastAsia" w:ascii="宋体" w:hAnsi="宋体" w:eastAsia="宋体" w:cs="宋体"/>
              </w:rPr>
            </w:pPr>
            <w:r>
              <w:rPr>
                <w:rFonts w:hint="eastAsia" w:ascii="宋体" w:hAnsi="宋体" w:eastAsia="宋体" w:cs="宋体"/>
                <w:sz w:val="18"/>
              </w:rPr>
              <w:t>层纹明显，速度与精度需权衡</w:t>
            </w:r>
          </w:p>
        </w:tc>
        <w:tc>
          <w:tcPr>
            <w:tcW w:w="1567" w:type="dxa"/>
            <w:vAlign w:val="center"/>
          </w:tcPr>
          <w:p w14:paraId="14CFFB9E">
            <w:pPr>
              <w:spacing w:line="276" w:lineRule="auto"/>
              <w:ind w:firstLine="0"/>
              <w:jc w:val="center"/>
              <w:rPr>
                <w:rFonts w:hint="eastAsia" w:ascii="宋体" w:hAnsi="宋体" w:eastAsia="宋体" w:cs="宋体"/>
              </w:rPr>
            </w:pPr>
            <w:r>
              <w:rPr>
                <w:rFonts w:hint="eastAsia" w:ascii="宋体" w:hAnsi="宋体" w:eastAsia="宋体" w:cs="宋体"/>
                <w:sz w:val="18"/>
              </w:rPr>
              <w:t>去支撑、打磨</w:t>
            </w:r>
          </w:p>
        </w:tc>
      </w:tr>
      <w:tr w14:paraId="53C4A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7" w:type="dxa"/>
            <w:vAlign w:val="center"/>
          </w:tcPr>
          <w:p w14:paraId="757A7424">
            <w:pPr>
              <w:spacing w:line="276" w:lineRule="auto"/>
              <w:ind w:firstLine="0"/>
              <w:jc w:val="center"/>
              <w:rPr>
                <w:rFonts w:hint="eastAsia" w:ascii="宋体" w:hAnsi="宋体" w:eastAsia="宋体" w:cs="宋体"/>
              </w:rPr>
            </w:pPr>
            <w:r>
              <w:rPr>
                <w:rFonts w:hint="eastAsia" w:ascii="宋体" w:hAnsi="宋体" w:eastAsia="宋体" w:cs="宋体"/>
                <w:sz w:val="18"/>
              </w:rPr>
              <w:t>SLA</w:t>
            </w:r>
          </w:p>
        </w:tc>
        <w:tc>
          <w:tcPr>
            <w:tcW w:w="1567" w:type="dxa"/>
            <w:vAlign w:val="center"/>
          </w:tcPr>
          <w:p w14:paraId="3E0EA805">
            <w:pPr>
              <w:spacing w:line="276" w:lineRule="auto"/>
              <w:ind w:firstLine="0"/>
              <w:jc w:val="center"/>
              <w:rPr>
                <w:rFonts w:hint="eastAsia" w:ascii="宋体" w:hAnsi="宋体" w:eastAsia="宋体" w:cs="宋体"/>
              </w:rPr>
            </w:pPr>
            <w:r>
              <w:rPr>
                <w:rFonts w:hint="eastAsia" w:ascii="宋体" w:hAnsi="宋体" w:eastAsia="宋体" w:cs="宋体"/>
                <w:sz w:val="18"/>
              </w:rPr>
              <w:t>液态光敏树脂</w:t>
            </w:r>
          </w:p>
        </w:tc>
        <w:tc>
          <w:tcPr>
            <w:tcW w:w="1567" w:type="dxa"/>
            <w:vAlign w:val="center"/>
          </w:tcPr>
          <w:p w14:paraId="54564E38">
            <w:pPr>
              <w:spacing w:line="276" w:lineRule="auto"/>
              <w:ind w:firstLine="0"/>
              <w:jc w:val="center"/>
              <w:rPr>
                <w:rFonts w:hint="eastAsia" w:ascii="宋体" w:hAnsi="宋体" w:eastAsia="宋体" w:cs="宋体"/>
              </w:rPr>
            </w:pPr>
            <w:r>
              <w:rPr>
                <w:rFonts w:hint="eastAsia" w:ascii="宋体" w:hAnsi="宋体" w:eastAsia="宋体" w:cs="宋体"/>
                <w:sz w:val="18"/>
              </w:rPr>
              <w:t>激光选择性光固化</w:t>
            </w:r>
          </w:p>
        </w:tc>
        <w:tc>
          <w:tcPr>
            <w:tcW w:w="1567" w:type="dxa"/>
            <w:vAlign w:val="center"/>
          </w:tcPr>
          <w:p w14:paraId="74CD5BD8">
            <w:pPr>
              <w:spacing w:line="276" w:lineRule="auto"/>
              <w:ind w:firstLine="0"/>
              <w:jc w:val="center"/>
              <w:rPr>
                <w:rFonts w:hint="eastAsia" w:ascii="宋体" w:hAnsi="宋体" w:eastAsia="宋体" w:cs="宋体"/>
              </w:rPr>
            </w:pPr>
            <w:r>
              <w:rPr>
                <w:rFonts w:hint="eastAsia" w:ascii="宋体" w:hAnsi="宋体" w:eastAsia="宋体" w:cs="宋体"/>
                <w:sz w:val="18"/>
              </w:rPr>
              <w:t>精度高、表面光滑、细节丰富</w:t>
            </w:r>
          </w:p>
        </w:tc>
        <w:tc>
          <w:tcPr>
            <w:tcW w:w="1567" w:type="dxa"/>
            <w:vAlign w:val="center"/>
          </w:tcPr>
          <w:p w14:paraId="4E6B61F2">
            <w:pPr>
              <w:spacing w:line="276" w:lineRule="auto"/>
              <w:ind w:firstLine="0"/>
              <w:jc w:val="center"/>
              <w:rPr>
                <w:rFonts w:hint="eastAsia" w:ascii="宋体" w:hAnsi="宋体" w:eastAsia="宋体" w:cs="宋体"/>
              </w:rPr>
            </w:pPr>
            <w:r>
              <w:rPr>
                <w:rFonts w:hint="eastAsia" w:ascii="宋体" w:hAnsi="宋体" w:eastAsia="宋体" w:cs="宋体"/>
                <w:sz w:val="18"/>
              </w:rPr>
              <w:t>材料和设备成本较高，后处理较多</w:t>
            </w:r>
          </w:p>
        </w:tc>
        <w:tc>
          <w:tcPr>
            <w:tcW w:w="1567" w:type="dxa"/>
            <w:vAlign w:val="center"/>
          </w:tcPr>
          <w:p w14:paraId="4B68BD1A">
            <w:pPr>
              <w:spacing w:line="276" w:lineRule="auto"/>
              <w:ind w:firstLine="0"/>
              <w:jc w:val="center"/>
              <w:rPr>
                <w:rFonts w:hint="eastAsia" w:ascii="宋体" w:hAnsi="宋体" w:eastAsia="宋体" w:cs="宋体"/>
              </w:rPr>
            </w:pPr>
            <w:r>
              <w:rPr>
                <w:rFonts w:hint="eastAsia" w:ascii="宋体" w:hAnsi="宋体" w:eastAsia="宋体" w:cs="宋体"/>
                <w:sz w:val="18"/>
              </w:rPr>
              <w:t>清洗、去支撑、二次固化</w:t>
            </w:r>
          </w:p>
        </w:tc>
      </w:tr>
      <w:tr w14:paraId="7A057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7" w:type="dxa"/>
            <w:vAlign w:val="center"/>
          </w:tcPr>
          <w:p w14:paraId="145F1254">
            <w:pPr>
              <w:spacing w:line="276" w:lineRule="auto"/>
              <w:ind w:firstLine="0"/>
              <w:jc w:val="center"/>
              <w:rPr>
                <w:rFonts w:hint="eastAsia" w:ascii="宋体" w:hAnsi="宋体" w:eastAsia="宋体" w:cs="宋体"/>
              </w:rPr>
            </w:pPr>
            <w:r>
              <w:rPr>
                <w:rFonts w:hint="eastAsia" w:ascii="宋体" w:hAnsi="宋体" w:eastAsia="宋体" w:cs="宋体"/>
                <w:sz w:val="18"/>
              </w:rPr>
              <w:t>SLS</w:t>
            </w:r>
          </w:p>
        </w:tc>
        <w:tc>
          <w:tcPr>
            <w:tcW w:w="1567" w:type="dxa"/>
            <w:vAlign w:val="center"/>
          </w:tcPr>
          <w:p w14:paraId="20379D75">
            <w:pPr>
              <w:spacing w:line="276" w:lineRule="auto"/>
              <w:ind w:firstLine="0"/>
              <w:jc w:val="center"/>
              <w:rPr>
                <w:rFonts w:hint="eastAsia" w:ascii="宋体" w:hAnsi="宋体" w:eastAsia="宋体" w:cs="宋体"/>
              </w:rPr>
            </w:pPr>
            <w:r>
              <w:rPr>
                <w:rFonts w:hint="eastAsia" w:ascii="宋体" w:hAnsi="宋体" w:eastAsia="宋体" w:cs="宋体"/>
                <w:sz w:val="18"/>
              </w:rPr>
              <w:t>粉末材料</w:t>
            </w:r>
          </w:p>
        </w:tc>
        <w:tc>
          <w:tcPr>
            <w:tcW w:w="1567" w:type="dxa"/>
            <w:vAlign w:val="center"/>
          </w:tcPr>
          <w:p w14:paraId="593958E5">
            <w:pPr>
              <w:spacing w:line="276" w:lineRule="auto"/>
              <w:ind w:firstLine="0"/>
              <w:jc w:val="center"/>
              <w:rPr>
                <w:rFonts w:hint="eastAsia" w:ascii="宋体" w:hAnsi="宋体" w:eastAsia="宋体" w:cs="宋体"/>
              </w:rPr>
            </w:pPr>
            <w:r>
              <w:rPr>
                <w:rFonts w:hint="eastAsia" w:ascii="宋体" w:hAnsi="宋体" w:eastAsia="宋体" w:cs="宋体"/>
                <w:sz w:val="18"/>
              </w:rPr>
              <w:t>铺粉后激光选择性烧结</w:t>
            </w:r>
          </w:p>
        </w:tc>
        <w:tc>
          <w:tcPr>
            <w:tcW w:w="1567" w:type="dxa"/>
            <w:vAlign w:val="center"/>
          </w:tcPr>
          <w:p w14:paraId="590AE327">
            <w:pPr>
              <w:spacing w:line="276" w:lineRule="auto"/>
              <w:ind w:firstLine="0"/>
              <w:jc w:val="center"/>
              <w:rPr>
                <w:rFonts w:hint="eastAsia" w:ascii="宋体" w:hAnsi="宋体" w:eastAsia="宋体" w:cs="宋体"/>
              </w:rPr>
            </w:pPr>
            <w:r>
              <w:rPr>
                <w:rFonts w:hint="eastAsia" w:ascii="宋体" w:hAnsi="宋体" w:eastAsia="宋体" w:cs="宋体"/>
                <w:sz w:val="18"/>
              </w:rPr>
              <w:t>复杂结构能力强，粉末可提供支撑</w:t>
            </w:r>
          </w:p>
        </w:tc>
        <w:tc>
          <w:tcPr>
            <w:tcW w:w="1567" w:type="dxa"/>
            <w:vAlign w:val="center"/>
          </w:tcPr>
          <w:p w14:paraId="21A0696E">
            <w:pPr>
              <w:spacing w:line="240" w:lineRule="auto"/>
              <w:ind w:firstLine="0"/>
              <w:rPr>
                <w:rFonts w:hint="eastAsia" w:ascii="宋体" w:hAnsi="宋体" w:eastAsia="宋体" w:cs="宋体"/>
              </w:rPr>
            </w:pPr>
            <w:r>
              <w:rPr>
                <w:rFonts w:hint="eastAsia" w:ascii="宋体" w:hAnsi="宋体" w:eastAsia="宋体" w:cs="宋体"/>
                <w:sz w:val="17"/>
              </w:rPr>
              <w:t>成本高；粉末处理复杂</w:t>
            </w:r>
          </w:p>
        </w:tc>
        <w:tc>
          <w:tcPr>
            <w:tcW w:w="1567" w:type="dxa"/>
            <w:vAlign w:val="center"/>
          </w:tcPr>
          <w:p w14:paraId="4E38678B">
            <w:pPr>
              <w:spacing w:line="276" w:lineRule="auto"/>
              <w:ind w:firstLine="0"/>
              <w:jc w:val="center"/>
              <w:rPr>
                <w:rFonts w:hint="eastAsia" w:ascii="宋体" w:hAnsi="宋体" w:eastAsia="宋体" w:cs="宋体"/>
              </w:rPr>
            </w:pPr>
            <w:r>
              <w:rPr>
                <w:rFonts w:hint="eastAsia" w:ascii="宋体" w:hAnsi="宋体" w:eastAsia="宋体" w:cs="宋体"/>
                <w:sz w:val="18"/>
              </w:rPr>
              <w:t>清粉及必要的表面处理</w:t>
            </w:r>
          </w:p>
        </w:tc>
      </w:tr>
    </w:tbl>
    <w:p w14:paraId="1C7C370E">
      <w:pPr>
        <w:pStyle w:val="165"/>
        <w:keepNext/>
        <w:rPr>
          <w:rFonts w:hint="eastAsia" w:ascii="宋体" w:hAnsi="宋体" w:eastAsia="宋体" w:cs="宋体"/>
        </w:rPr>
      </w:pPr>
      <w:r>
        <w:rPr>
          <w:rFonts w:hint="eastAsia" w:ascii="宋体" w:hAnsi="宋体" w:eastAsia="宋体" w:cs="宋体"/>
        </w:rPr>
        <w:t>四、FDM常用耗材PLA与ABS</w:t>
      </w:r>
    </w:p>
    <w:p w14:paraId="2B6CE1FD">
      <w:pPr>
        <w:rPr>
          <w:rFonts w:hint="eastAsia" w:ascii="宋体" w:hAnsi="宋体" w:eastAsia="宋体" w:cs="宋体"/>
        </w:rPr>
      </w:pPr>
      <w:r>
        <w:rPr>
          <w:rFonts w:hint="eastAsia" w:ascii="宋体" w:hAnsi="宋体" w:eastAsia="宋体" w:cs="宋体"/>
        </w:rPr>
        <w:t>PLA和ABS是课堂重点比较的两种FDM常用材料。二者都可以制成丝材并通过加热熔融挤出，但在韧性、耐热性和打印难度方面有明显差异，因此材料选择应与零件使用环境和受力要求相匹配。</w:t>
      </w:r>
    </w:p>
    <w:p w14:paraId="7A33FE72">
      <w:pPr>
        <w:pStyle w:val="166"/>
        <w:keepNext/>
        <w:rPr>
          <w:rFonts w:hint="eastAsia" w:ascii="宋体" w:hAnsi="宋体" w:eastAsia="宋体" w:cs="宋体"/>
        </w:rPr>
      </w:pPr>
      <w:r>
        <w:rPr>
          <w:rFonts w:hint="eastAsia" w:ascii="宋体" w:hAnsi="宋体" w:eastAsia="宋体" w:cs="宋体"/>
        </w:rPr>
        <w:t>（一）PLA的特点与应用</w:t>
      </w:r>
    </w:p>
    <w:p w14:paraId="250A5055">
      <w:pPr>
        <w:rPr>
          <w:rFonts w:hint="eastAsia" w:ascii="宋体" w:hAnsi="宋体" w:eastAsia="宋体" w:cs="宋体"/>
        </w:rPr>
      </w:pPr>
      <w:r>
        <w:rPr>
          <w:rFonts w:hint="eastAsia" w:ascii="宋体" w:hAnsi="宋体" w:eastAsia="宋体" w:cs="宋体"/>
        </w:rPr>
        <w:t>PLA价格相对低、颜色选择丰富、打印条件较宽松，成品刚性较好、外观整齐，适合教学模型、外观原型和一般桌面打印。课堂指出PLA虽然强度较高，但材料偏脆，弯曲到一定程度时容易突然断裂；其玻璃化转变温度约为60℃，因此不适合长期处于较高温环境。由于打印温度梯度相对较小，PLA发生明显翘曲的概率通常低于ABS。</w:t>
      </w:r>
    </w:p>
    <w:p w14:paraId="5A1D0B41">
      <w:pPr>
        <w:pStyle w:val="166"/>
        <w:keepNext/>
        <w:rPr>
          <w:rFonts w:hint="eastAsia" w:ascii="宋体" w:hAnsi="宋体" w:eastAsia="宋体" w:cs="宋体"/>
        </w:rPr>
      </w:pPr>
      <w:r>
        <w:rPr>
          <w:rFonts w:hint="eastAsia" w:ascii="宋体" w:hAnsi="宋体" w:eastAsia="宋体" w:cs="宋体"/>
        </w:rPr>
        <w:t>（二）ABS的特点与应用</w:t>
      </w:r>
    </w:p>
    <w:p w14:paraId="323B7E96">
      <w:pPr>
        <w:rPr>
          <w:rFonts w:hint="eastAsia" w:ascii="宋体" w:hAnsi="宋体" w:eastAsia="宋体" w:cs="宋体"/>
        </w:rPr>
      </w:pPr>
      <w:r>
        <w:rPr>
          <w:rFonts w:hint="eastAsia" w:ascii="宋体" w:hAnsi="宋体" w:eastAsia="宋体" w:cs="宋体"/>
        </w:rPr>
        <w:t>ABS相较PLA更柔韧，能够承受更大的弯曲和一定冲击，因此更适合需要耐久性、抗跌落或轻微变形的功能件。课堂以乐高积木为例说明ABS的应用，并强调其玻璃化转变温度在100℃以上，耐热性能明显优于PLA。但ABS打印时材料从较高喷嘴温度快速冷却，会产生更大的温度梯度和热收缩，内部应力增大后容易造成边缘翘起甚至脱离平台。因此打印ABS时需要更重视热床温度和环境保温，以减小温差和翘曲。</w:t>
      </w:r>
    </w:p>
    <w:p w14:paraId="44DB4AA2">
      <w:pPr>
        <w:pStyle w:val="167"/>
        <w:jc w:val="center"/>
        <w:rPr>
          <w:rFonts w:hint="eastAsia" w:ascii="宋体" w:hAnsi="宋体" w:eastAsia="宋体" w:cs="宋体"/>
        </w:rPr>
      </w:pPr>
      <w:r>
        <w:rPr>
          <w:rFonts w:hint="eastAsia" w:ascii="宋体" w:hAnsi="宋体" w:eastAsia="宋体" w:cs="宋体"/>
        </w:rPr>
        <w:t>表2  PLA与ABS性能及应用比较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462E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605BA600">
            <w:pPr>
              <w:spacing w:line="276" w:lineRule="auto"/>
              <w:ind w:firstLine="0"/>
              <w:jc w:val="center"/>
              <w:rPr>
                <w:rFonts w:hint="eastAsia" w:ascii="宋体" w:hAnsi="宋体" w:eastAsia="宋体" w:cs="宋体"/>
              </w:rPr>
            </w:pPr>
            <w:r>
              <w:rPr>
                <w:rFonts w:hint="eastAsia" w:ascii="宋体" w:hAnsi="宋体" w:eastAsia="宋体" w:cs="宋体"/>
                <w:b/>
                <w:sz w:val="19"/>
              </w:rPr>
              <w:t>比较项目</w:t>
            </w:r>
          </w:p>
        </w:tc>
        <w:tc>
          <w:tcPr>
            <w:tcW w:w="3135" w:type="dxa"/>
            <w:vAlign w:val="center"/>
          </w:tcPr>
          <w:p w14:paraId="3F1A5BBB">
            <w:pPr>
              <w:spacing w:line="276" w:lineRule="auto"/>
              <w:ind w:firstLine="0"/>
              <w:jc w:val="center"/>
              <w:rPr>
                <w:rFonts w:hint="eastAsia" w:ascii="宋体" w:hAnsi="宋体" w:eastAsia="宋体" w:cs="宋体"/>
              </w:rPr>
            </w:pPr>
            <w:r>
              <w:rPr>
                <w:rFonts w:hint="eastAsia" w:ascii="宋体" w:hAnsi="宋体" w:eastAsia="宋体" w:cs="宋体"/>
                <w:b/>
                <w:sz w:val="19"/>
              </w:rPr>
              <w:t>PLA</w:t>
            </w:r>
          </w:p>
        </w:tc>
        <w:tc>
          <w:tcPr>
            <w:tcW w:w="3135" w:type="dxa"/>
            <w:vAlign w:val="center"/>
          </w:tcPr>
          <w:p w14:paraId="0497D69B">
            <w:pPr>
              <w:spacing w:line="276" w:lineRule="auto"/>
              <w:ind w:firstLine="0"/>
              <w:jc w:val="center"/>
              <w:rPr>
                <w:rFonts w:hint="eastAsia" w:ascii="宋体" w:hAnsi="宋体" w:eastAsia="宋体" w:cs="宋体"/>
              </w:rPr>
            </w:pPr>
            <w:r>
              <w:rPr>
                <w:rFonts w:hint="eastAsia" w:ascii="宋体" w:hAnsi="宋体" w:eastAsia="宋体" w:cs="宋体"/>
                <w:b/>
                <w:sz w:val="19"/>
              </w:rPr>
              <w:t>ABS</w:t>
            </w:r>
          </w:p>
        </w:tc>
      </w:tr>
      <w:tr w14:paraId="7933E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D3529E7">
            <w:pPr>
              <w:spacing w:line="276" w:lineRule="auto"/>
              <w:ind w:firstLine="0"/>
              <w:jc w:val="center"/>
              <w:rPr>
                <w:rFonts w:hint="eastAsia" w:ascii="宋体" w:hAnsi="宋体" w:eastAsia="宋体" w:cs="宋体"/>
              </w:rPr>
            </w:pPr>
            <w:r>
              <w:rPr>
                <w:rFonts w:hint="eastAsia" w:ascii="宋体" w:hAnsi="宋体" w:eastAsia="宋体" w:cs="宋体"/>
                <w:sz w:val="19"/>
              </w:rPr>
              <w:t>打印难度</w:t>
            </w:r>
          </w:p>
        </w:tc>
        <w:tc>
          <w:tcPr>
            <w:tcW w:w="3135" w:type="dxa"/>
            <w:vAlign w:val="center"/>
          </w:tcPr>
          <w:p w14:paraId="308078A8">
            <w:pPr>
              <w:spacing w:line="276" w:lineRule="auto"/>
              <w:ind w:firstLine="0"/>
              <w:jc w:val="center"/>
              <w:rPr>
                <w:rFonts w:hint="eastAsia" w:ascii="宋体" w:hAnsi="宋体" w:eastAsia="宋体" w:cs="宋体"/>
              </w:rPr>
            </w:pPr>
            <w:r>
              <w:rPr>
                <w:rFonts w:hint="eastAsia" w:ascii="宋体" w:hAnsi="宋体" w:eastAsia="宋体" w:cs="宋体"/>
                <w:sz w:val="19"/>
              </w:rPr>
              <w:t>较低，适合常规桌面打印</w:t>
            </w:r>
          </w:p>
        </w:tc>
        <w:tc>
          <w:tcPr>
            <w:tcW w:w="3135" w:type="dxa"/>
            <w:vAlign w:val="center"/>
          </w:tcPr>
          <w:p w14:paraId="3ADA6BE3">
            <w:pPr>
              <w:spacing w:line="276" w:lineRule="auto"/>
              <w:ind w:firstLine="0"/>
              <w:jc w:val="center"/>
              <w:rPr>
                <w:rFonts w:hint="eastAsia" w:ascii="宋体" w:hAnsi="宋体" w:eastAsia="宋体" w:cs="宋体"/>
              </w:rPr>
            </w:pPr>
            <w:r>
              <w:rPr>
                <w:rFonts w:hint="eastAsia" w:ascii="宋体" w:hAnsi="宋体" w:eastAsia="宋体" w:cs="宋体"/>
                <w:sz w:val="19"/>
              </w:rPr>
              <w:t>较高，对热床和环境温度更敏感</w:t>
            </w:r>
          </w:p>
        </w:tc>
      </w:tr>
      <w:tr w14:paraId="71B7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EEDAED2">
            <w:pPr>
              <w:spacing w:line="276" w:lineRule="auto"/>
              <w:ind w:firstLine="0"/>
              <w:jc w:val="center"/>
              <w:rPr>
                <w:rFonts w:hint="eastAsia" w:ascii="宋体" w:hAnsi="宋体" w:eastAsia="宋体" w:cs="宋体"/>
              </w:rPr>
            </w:pPr>
            <w:r>
              <w:rPr>
                <w:rFonts w:hint="eastAsia" w:ascii="宋体" w:hAnsi="宋体" w:eastAsia="宋体" w:cs="宋体"/>
                <w:sz w:val="19"/>
              </w:rPr>
              <w:t>力学特点</w:t>
            </w:r>
          </w:p>
        </w:tc>
        <w:tc>
          <w:tcPr>
            <w:tcW w:w="3135" w:type="dxa"/>
            <w:vAlign w:val="center"/>
          </w:tcPr>
          <w:p w14:paraId="03E0794E">
            <w:pPr>
              <w:spacing w:line="276" w:lineRule="auto"/>
              <w:ind w:firstLine="0"/>
              <w:jc w:val="center"/>
              <w:rPr>
                <w:rFonts w:hint="eastAsia" w:ascii="宋体" w:hAnsi="宋体" w:eastAsia="宋体" w:cs="宋体"/>
              </w:rPr>
            </w:pPr>
            <w:r>
              <w:rPr>
                <w:rFonts w:hint="eastAsia" w:ascii="宋体" w:hAnsi="宋体" w:eastAsia="宋体" w:cs="宋体"/>
                <w:sz w:val="19"/>
              </w:rPr>
              <w:t>刚性较好但偏脆</w:t>
            </w:r>
          </w:p>
        </w:tc>
        <w:tc>
          <w:tcPr>
            <w:tcW w:w="3135" w:type="dxa"/>
            <w:vAlign w:val="center"/>
          </w:tcPr>
          <w:p w14:paraId="0374274A">
            <w:pPr>
              <w:spacing w:line="276" w:lineRule="auto"/>
              <w:ind w:firstLine="0"/>
              <w:jc w:val="center"/>
              <w:rPr>
                <w:rFonts w:hint="eastAsia" w:ascii="宋体" w:hAnsi="宋体" w:eastAsia="宋体" w:cs="宋体"/>
              </w:rPr>
            </w:pPr>
            <w:r>
              <w:rPr>
                <w:rFonts w:hint="eastAsia" w:ascii="宋体" w:hAnsi="宋体" w:eastAsia="宋体" w:cs="宋体"/>
                <w:sz w:val="19"/>
              </w:rPr>
              <w:t>韧性、耐久性较好</w:t>
            </w:r>
          </w:p>
        </w:tc>
      </w:tr>
      <w:tr w14:paraId="0C63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021430D">
            <w:pPr>
              <w:spacing w:line="276" w:lineRule="auto"/>
              <w:ind w:firstLine="0"/>
              <w:jc w:val="center"/>
              <w:rPr>
                <w:rFonts w:hint="eastAsia" w:ascii="宋体" w:hAnsi="宋体" w:eastAsia="宋体" w:cs="宋体"/>
              </w:rPr>
            </w:pPr>
            <w:r>
              <w:rPr>
                <w:rFonts w:hint="eastAsia" w:ascii="宋体" w:hAnsi="宋体" w:eastAsia="宋体" w:cs="宋体"/>
                <w:sz w:val="19"/>
              </w:rPr>
              <w:t>耐热性</w:t>
            </w:r>
          </w:p>
        </w:tc>
        <w:tc>
          <w:tcPr>
            <w:tcW w:w="3135" w:type="dxa"/>
            <w:vAlign w:val="center"/>
          </w:tcPr>
          <w:p w14:paraId="26D176B7">
            <w:pPr>
              <w:spacing w:line="276" w:lineRule="auto"/>
              <w:ind w:firstLine="0"/>
              <w:jc w:val="center"/>
              <w:rPr>
                <w:rFonts w:hint="eastAsia" w:ascii="宋体" w:hAnsi="宋体" w:eastAsia="宋体" w:cs="宋体"/>
              </w:rPr>
            </w:pPr>
            <w:r>
              <w:rPr>
                <w:rFonts w:hint="eastAsia" w:ascii="宋体" w:hAnsi="宋体" w:eastAsia="宋体" w:cs="宋体"/>
                <w:sz w:val="19"/>
              </w:rPr>
              <w:t>较低，玻璃化转变温度约60℃</w:t>
            </w:r>
          </w:p>
        </w:tc>
        <w:tc>
          <w:tcPr>
            <w:tcW w:w="3135" w:type="dxa"/>
            <w:vAlign w:val="center"/>
          </w:tcPr>
          <w:p w14:paraId="7CF979E6">
            <w:pPr>
              <w:spacing w:line="276" w:lineRule="auto"/>
              <w:ind w:firstLine="0"/>
              <w:jc w:val="center"/>
              <w:rPr>
                <w:rFonts w:hint="eastAsia" w:ascii="宋体" w:hAnsi="宋体" w:eastAsia="宋体" w:cs="宋体"/>
              </w:rPr>
            </w:pPr>
            <w:r>
              <w:rPr>
                <w:rFonts w:hint="eastAsia" w:ascii="宋体" w:hAnsi="宋体" w:eastAsia="宋体" w:cs="宋体"/>
                <w:sz w:val="19"/>
              </w:rPr>
              <w:t>较高，玻璃化转变温度100℃以上</w:t>
            </w:r>
          </w:p>
        </w:tc>
      </w:tr>
      <w:tr w14:paraId="5807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D1DFC4B">
            <w:pPr>
              <w:spacing w:line="276" w:lineRule="auto"/>
              <w:ind w:firstLine="0"/>
              <w:jc w:val="center"/>
              <w:rPr>
                <w:rFonts w:hint="eastAsia" w:ascii="宋体" w:hAnsi="宋体" w:eastAsia="宋体" w:cs="宋体"/>
              </w:rPr>
            </w:pPr>
            <w:r>
              <w:rPr>
                <w:rFonts w:hint="eastAsia" w:ascii="宋体" w:hAnsi="宋体" w:eastAsia="宋体" w:cs="宋体"/>
                <w:sz w:val="19"/>
              </w:rPr>
              <w:t>翘曲倾向</w:t>
            </w:r>
          </w:p>
        </w:tc>
        <w:tc>
          <w:tcPr>
            <w:tcW w:w="3135" w:type="dxa"/>
            <w:vAlign w:val="center"/>
          </w:tcPr>
          <w:p w14:paraId="31F17A16">
            <w:pPr>
              <w:spacing w:line="276" w:lineRule="auto"/>
              <w:ind w:firstLine="0"/>
              <w:jc w:val="center"/>
              <w:rPr>
                <w:rFonts w:hint="eastAsia" w:ascii="宋体" w:hAnsi="宋体" w:eastAsia="宋体" w:cs="宋体"/>
              </w:rPr>
            </w:pPr>
            <w:r>
              <w:rPr>
                <w:rFonts w:hint="eastAsia" w:ascii="宋体" w:hAnsi="宋体" w:eastAsia="宋体" w:cs="宋体"/>
                <w:sz w:val="19"/>
              </w:rPr>
              <w:t>相对较小</w:t>
            </w:r>
          </w:p>
        </w:tc>
        <w:tc>
          <w:tcPr>
            <w:tcW w:w="3135" w:type="dxa"/>
            <w:vAlign w:val="center"/>
          </w:tcPr>
          <w:p w14:paraId="0DFECBC7">
            <w:pPr>
              <w:spacing w:line="276" w:lineRule="auto"/>
              <w:ind w:firstLine="0"/>
              <w:jc w:val="center"/>
              <w:rPr>
                <w:rFonts w:hint="eastAsia" w:ascii="宋体" w:hAnsi="宋体" w:eastAsia="宋体" w:cs="宋体"/>
              </w:rPr>
            </w:pPr>
            <w:r>
              <w:rPr>
                <w:rFonts w:hint="eastAsia" w:ascii="宋体" w:hAnsi="宋体" w:eastAsia="宋体" w:cs="宋体"/>
                <w:sz w:val="19"/>
              </w:rPr>
              <w:t>较明显，需减小温度梯度</w:t>
            </w:r>
          </w:p>
        </w:tc>
      </w:tr>
      <w:tr w14:paraId="3D56D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9808021">
            <w:pPr>
              <w:spacing w:line="276" w:lineRule="auto"/>
              <w:ind w:firstLine="0"/>
              <w:jc w:val="center"/>
              <w:rPr>
                <w:rFonts w:hint="eastAsia" w:ascii="宋体" w:hAnsi="宋体" w:eastAsia="宋体" w:cs="宋体"/>
              </w:rPr>
            </w:pPr>
            <w:r>
              <w:rPr>
                <w:rFonts w:hint="eastAsia" w:ascii="宋体" w:hAnsi="宋体" w:eastAsia="宋体" w:cs="宋体"/>
                <w:sz w:val="19"/>
              </w:rPr>
              <w:t>适用场景</w:t>
            </w:r>
          </w:p>
        </w:tc>
        <w:tc>
          <w:tcPr>
            <w:tcW w:w="3135" w:type="dxa"/>
            <w:vAlign w:val="center"/>
          </w:tcPr>
          <w:p w14:paraId="20E477F0">
            <w:pPr>
              <w:spacing w:line="276" w:lineRule="auto"/>
              <w:ind w:firstLine="0"/>
              <w:jc w:val="center"/>
              <w:rPr>
                <w:rFonts w:hint="eastAsia" w:ascii="宋体" w:hAnsi="宋体" w:eastAsia="宋体" w:cs="宋体"/>
              </w:rPr>
            </w:pPr>
            <w:r>
              <w:rPr>
                <w:rFonts w:hint="eastAsia" w:ascii="宋体" w:hAnsi="宋体" w:eastAsia="宋体" w:cs="宋体"/>
                <w:sz w:val="19"/>
              </w:rPr>
              <w:t>教学模型、外观原型、一般零件</w:t>
            </w:r>
          </w:p>
        </w:tc>
        <w:tc>
          <w:tcPr>
            <w:tcW w:w="3135" w:type="dxa"/>
            <w:vAlign w:val="center"/>
          </w:tcPr>
          <w:p w14:paraId="74BE348A">
            <w:pPr>
              <w:spacing w:line="276" w:lineRule="auto"/>
              <w:ind w:firstLine="0"/>
              <w:jc w:val="center"/>
              <w:rPr>
                <w:rFonts w:hint="eastAsia" w:ascii="宋体" w:hAnsi="宋体" w:eastAsia="宋体" w:cs="宋体"/>
              </w:rPr>
            </w:pPr>
            <w:r>
              <w:rPr>
                <w:rFonts w:hint="eastAsia" w:ascii="宋体" w:hAnsi="宋体" w:eastAsia="宋体" w:cs="宋体"/>
                <w:sz w:val="19"/>
              </w:rPr>
              <w:t>耐久功能件、需要一定耐热或抗冲击的零件</w:t>
            </w:r>
          </w:p>
        </w:tc>
      </w:tr>
    </w:tbl>
    <w:p w14:paraId="17C776B7">
      <w:pPr>
        <w:pStyle w:val="165"/>
        <w:keepNext/>
        <w:rPr>
          <w:rFonts w:hint="eastAsia" w:ascii="宋体" w:hAnsi="宋体" w:eastAsia="宋体" w:cs="宋体"/>
        </w:rPr>
      </w:pPr>
      <w:r>
        <w:rPr>
          <w:rFonts w:hint="eastAsia" w:ascii="宋体" w:hAnsi="宋体" w:eastAsia="宋体" w:cs="宋体"/>
        </w:rPr>
        <w:t>五、实习认识与总结</w:t>
      </w:r>
    </w:p>
    <w:p w14:paraId="3A08ECCD">
      <w:pPr>
        <w:rPr>
          <w:rFonts w:hint="eastAsia" w:ascii="宋体" w:hAnsi="宋体" w:eastAsia="宋体" w:cs="宋体"/>
        </w:rPr>
      </w:pPr>
      <w:r>
        <w:rPr>
          <w:rFonts w:hint="eastAsia" w:ascii="宋体" w:hAnsi="宋体" w:eastAsia="宋体" w:cs="宋体"/>
        </w:rPr>
        <w:t>通过本次实习，我对3D打印的认识由“设备把模型直接打印出来”进一步转变为对完整数字制造链条的理解。三维模型只是起点，真正决定打印能否实现的关键还包括切片、路径规划、运动控制、材料成型和后处理。课堂中的“降维—升维”解释使我认识到，3D打印并不是简单地把传统加工设备缩小，而是用数字方法重新组织制造过程：先将复杂问题拆解为可重复执行的基本单元，再通过精确控制把这些单元重新组合成实体。</w:t>
      </w:r>
    </w:p>
    <w:p w14:paraId="61E4403D">
      <w:pPr>
        <w:rPr>
          <w:rFonts w:hint="eastAsia" w:ascii="宋体" w:hAnsi="宋体" w:eastAsia="宋体" w:cs="宋体"/>
        </w:rPr>
      </w:pPr>
      <w:r>
        <w:rPr>
          <w:rFonts w:hint="eastAsia" w:ascii="宋体" w:hAnsi="宋体" w:eastAsia="宋体" w:cs="宋体"/>
        </w:rPr>
        <w:t>同时，FDM、SLA和SLS的比较说明，3D打印并不存在对所有零件都最优的单一工艺。若更关注成本和操作便利，可优先考虑FDM；若重视表面质量和细节，可选择光固化；若零件几何复杂、希望利用粉末床支撑特性，则粉末床工艺更有优势。即使同为FDM，PLA与ABS的材料差异也会直接影响打印温度、翘曲、耐热性和零件使用性能。因此在实际工程中，应从结构、精度、材料、成本和后处理等多方面综合选择工艺，而不是只追求打印设备本身的参数。此次参观把三维建模、机械运动、材料性能和自动控制等知识联系起来，为后续专业课程学习建立了更直观的工程认识。</w:t>
      </w:r>
    </w:p>
    <w:p w14:paraId="2DB3CFFE">
      <w:pPr>
        <w:spacing w:before="200"/>
        <w:ind w:firstLine="0"/>
        <w:rPr>
          <w:rFonts w:hint="eastAsia" w:ascii="宋体" w:hAnsi="宋体" w:eastAsia="宋体" w:cs="宋体"/>
        </w:rPr>
      </w:pPr>
      <w:r>
        <w:rPr>
          <w:rFonts w:hint="eastAsia" w:ascii="宋体" w:hAnsi="宋体" w:eastAsia="宋体" w:cs="宋体"/>
          <w:color w:val="646464"/>
          <w:sz w:val="18"/>
        </w:rPr>
        <w:t>撰写依据：2026年9月2日3D打印课堂讲解记录、《郄龙飞-认识实习撰写提纲》及《国机-2024级认识实习大纲》。</w:t>
      </w:r>
    </w:p>
    <w:sectPr>
      <w:headerReference r:id="rId5" w:type="default"/>
      <w:footerReference r:id="rId6" w:type="default"/>
      <w:pgSz w:w="12240" w:h="15840"/>
      <w:pgMar w:top="1361" w:right="1361"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3"/>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Noto Sans CJK SC">
    <w:altName w:val="FFont-Family"/>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仓耳渔阳体 W03">
    <w:panose1 w:val="02020400000000000000"/>
    <w:charset w:val="80"/>
    <w:family w:val="auto"/>
    <w:pitch w:val="default"/>
    <w:sig w:usb0="80000023" w:usb1="08C10458" w:usb2="00000012" w:usb3="00000000" w:csb0="0002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B1113">
    <w:pPr>
      <w:pStyle w:val="24"/>
      <w:ind w:firstLine="0"/>
      <w:jc w:val="center"/>
    </w:pPr>
    <w:r>
      <w:rPr>
        <w:sz w:val="18"/>
      </w:rPr>
      <w:t xml:space="preserve">第 </w:t>
    </w:r>
    <w:r>
      <w:rPr>
        <w:sz w:val="18"/>
      </w:rPr>
      <w:fldChar w:fldCharType="begin"/>
    </w:r>
    <w:r>
      <w:rPr>
        <w:sz w:val="18"/>
      </w:rPr>
      <w:instrText xml:space="preserve"> PAGE </w:instrText>
    </w:r>
    <w:r>
      <w:rPr>
        <w:sz w:val="18"/>
      </w:rP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086E9">
    <w:pPr>
      <w:pStyle w:val="25"/>
      <w:ind w:firstLine="0"/>
      <w:jc w:val="center"/>
    </w:pPr>
    <w:r>
      <w:rPr>
        <w:rFonts w:ascii="宋体" w:hAnsi="宋体" w:eastAsia="宋体"/>
        <w:color w:val="6E6E6E"/>
        <w:sz w:val="18"/>
      </w:rPr>
      <w:t>北京化工大学《认识实习》— 3D打印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6E1C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20"/>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portTitle"/>
    <w:uiPriority w:val="0"/>
    <w:pPr>
      <w:spacing w:before="0" w:after="0" w:line="276" w:lineRule="auto"/>
    </w:pPr>
    <w:rPr>
      <w:rFonts w:ascii="Arial" w:hAnsi="Arial" w:eastAsia="Noto Sans CJK SC" w:cstheme="minorBidi"/>
      <w:b/>
      <w:sz w:val="44"/>
      <w:szCs w:val="22"/>
      <w:lang w:val="en-US" w:eastAsia="en-US" w:bidi="ar-SA"/>
    </w:rPr>
  </w:style>
  <w:style w:type="paragraph" w:customStyle="1" w:styleId="165">
    <w:name w:val="H1C"/>
    <w:qFormat/>
    <w:uiPriority w:val="0"/>
    <w:pPr>
      <w:spacing w:before="160" w:after="100" w:line="276" w:lineRule="auto"/>
    </w:pPr>
    <w:rPr>
      <w:rFonts w:ascii="Arial" w:hAnsi="Arial" w:eastAsia="Noto Sans CJK SC" w:cstheme="minorBidi"/>
      <w:b/>
      <w:sz w:val="32"/>
      <w:szCs w:val="22"/>
      <w:lang w:val="en-US" w:eastAsia="en-US" w:bidi="ar-SA"/>
    </w:rPr>
  </w:style>
  <w:style w:type="paragraph" w:customStyle="1" w:styleId="166">
    <w:name w:val="H2C"/>
    <w:qFormat/>
    <w:uiPriority w:val="0"/>
    <w:pPr>
      <w:spacing w:before="160" w:after="100" w:line="276" w:lineRule="auto"/>
    </w:pPr>
    <w:rPr>
      <w:rFonts w:ascii="Arial" w:hAnsi="Arial" w:eastAsia="Noto Sans CJK SC" w:cstheme="minorBidi"/>
      <w:b/>
      <w:sz w:val="26"/>
      <w:szCs w:val="22"/>
      <w:lang w:val="en-US" w:eastAsia="en-US" w:bidi="ar-SA"/>
    </w:rPr>
  </w:style>
  <w:style w:type="paragraph" w:customStyle="1" w:styleId="167">
    <w:name w:val="CaptionC"/>
    <w:qFormat/>
    <w:uiPriority w:val="0"/>
    <w:pPr>
      <w:spacing w:before="0" w:after="0" w:line="240" w:lineRule="auto"/>
      <w:ind w:firstLine="0"/>
    </w:pPr>
    <w:rPr>
      <w:rFonts w:ascii="宋体" w:hAnsi="宋体" w:eastAsia="宋体"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2572</Words>
  <Characters>2698</Characters>
  <Lines>0</Lines>
  <Paragraphs>0</Paragraphs>
  <TotalTime>1</TotalTime>
  <ScaleCrop>false</ScaleCrop>
  <LinksUpToDate>false</LinksUpToDate>
  <CharactersWithSpaces>2706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赵启涵</cp:lastModifiedBy>
  <dcterms:modified xsi:type="dcterms:W3CDTF">2026-09-08T02:43:30Z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eyJoZGlkIjoiMmRmZjg0ZDQ3ZGM3NmYxZmE5ZDZjMjVlNjY0ZjM1NDYiLCJ1c2VySWQiOiI4MjI4ODkzODYifQ==</vt:lpwstr>
  </property>
  <property fmtid="{D5CDD505-2E9C-101B-9397-08002B2CF9AE}" pid="3" name="KSOProductBuildVer">
    <vt:lpwstr>2052-12.1.0.28505</vt:lpwstr>
  </property>
  <property fmtid="{D5CDD505-2E9C-101B-9397-08002B2CF9AE}" pid="4" name="ICV">
    <vt:lpwstr>411D1DBC87204309B19BC949597A0802_12</vt:lpwstr>
  </property>
</Properties>
</file>