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28"/>
                                <w:szCs w:val="28"/>
                              </w:rPr>
                              <w:t xml:space="preserve">1002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28"/>
                          <w:szCs w:val="28"/>
                        </w:rPr>
                        <w:t xml:space="preserve">1002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NIRVANA CREDIT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NIRVANA CREDIT</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ELIJAH WANYOIKE MWANIKI</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ELIJAH WANYOIKE MWANIKI</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KDA138K</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KDA138K</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INZ-E913690</w:t>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INZ-E913690</w:t>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NCP165-0010998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NCP165-0010998</w:t>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82" r="0" b="18652"/>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2025-12-18</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2025-12-18</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true"/>
                        <w:spacing w:lineRule="auto" w:line="240" w:before="0" w:after="0"/>
                        <w:rPr/>
                      </w:pPr>
                      <w:r>
                        <w:rPr>
                          <w:rFonts w:ascii="Abyssinica SIL" w:hAnsi="Abyssinica SIL"/>
                          <w:b/>
                          <w:bCs/>
                          <w:color w:val="FF0000"/>
                          <w:sz w:val="18"/>
                          <w:szCs w:val="18"/>
                        </w:rPr>
                        <w:t xml:space="preserve">2025-12-18</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GREY</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GREY</w:t>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PAUL 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PAUL 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2025-12-17T17:21:54Z</dcterms:modified>
  <cp:revision>14</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