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center"/>
        <w:rPr>
          <w:b/>
          <w:sz w:val="28"/>
        </w:rPr>
      </w:pPr>
      <w:bookmarkStart w:id="0" w:name="_GoBack"/>
      <w:bookmarkEnd w:id="0"/>
      <w:r>
        <w:rPr/>
        <w:drawing>
          <wp:inline distT="0" distB="0" distL="0" distR="0">
            <wp:extent cx="674370" cy="7810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Formulário BDTD para Registro dos Dados da Dissertação/Tese</w:t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both"/>
        <w:rPr>
          <w:bCs/>
          <w:sz w:val="24"/>
          <w:szCs w:val="24"/>
          <w:lang w:eastAsia="pt-BR"/>
        </w:rPr>
      </w:pPr>
      <w:r>
        <w:rPr>
          <w:bCs/>
          <w:sz w:val="24"/>
          <w:szCs w:val="24"/>
          <w:lang w:eastAsia="pt-BR"/>
        </w:rPr>
        <w:t>Preenchimento obrigatório para os trabalhos desenvolvidos nos formatos Latex, Br Office, Write e .odt.</w:t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  <w:t>Versão: 02/02/2021</w:t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5232"/>
        <w:gridCol w:w="5233"/>
      </w:tblGrid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</w:rPr>
            </w:pPr>
            <w:r>
              <w:rPr>
                <w:b/>
              </w:rPr>
              <w:t>DADOS DO TRABALHO</w:t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 xml:space="preserve">AUTOR 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Fernando Ferraz Ribeiro</w:t>
            </w:r>
          </w:p>
          <w:p>
            <w:pPr>
              <w:pStyle w:val="TextoFormulrios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Times New Roman" w:hAnsi="Times New Roman"/>
                <w:b w:val="false"/>
                <w:color w:val="auto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 xml:space="preserve">TÍTULO DA DISSERTAÇÃO/TESE 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DCCA</w:t>
            </w:r>
            <w:r>
              <w:rPr>
                <w:b/>
              </w:rPr>
              <w:t xml:space="preserve"> e DMC</w:t>
            </w:r>
            <w:r>
              <w:rPr>
                <w:b/>
              </w:rPr>
              <w:t xml:space="preserve">x² </w:t>
            </w:r>
            <w:r>
              <w:rPr>
                <w:b/>
              </w:rPr>
              <w:t>: Implementa</w:t>
            </w:r>
            <w:r>
              <w:rPr>
                <w:b/>
              </w:rPr>
              <w:t>ção</w:t>
            </w:r>
            <w:r>
              <w:rPr>
                <w:b/>
              </w:rPr>
              <w:t>, Otimiza</w:t>
            </w:r>
            <w:r>
              <w:rPr>
                <w:b/>
              </w:rPr>
              <w:t>ção</w:t>
            </w:r>
            <w:r>
              <w:rPr>
                <w:b/>
              </w:rPr>
              <w:t xml:space="preserve"> e Aplica</w:t>
            </w:r>
            <w:r>
              <w:rPr>
                <w:b/>
              </w:rPr>
              <w:t>ções.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341" w:hRule="atLeast"/>
          <w:cantSplit w:val="true"/>
        </w:trPr>
        <w:tc>
          <w:tcPr>
            <w:tcW w:w="52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NÚMERO DE PÁGINAS</w:t>
            </w:r>
          </w:p>
          <w:p>
            <w:pPr>
              <w:pStyle w:val="TextoFormulrios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Times New Roman" w:hAnsi="Times New Roman"/>
                <w:b w:val="false"/>
                <w:color w:val="auto"/>
              </w:rPr>
              <w:t xml:space="preserve"> </w:t>
            </w:r>
            <w:r>
              <w:rPr>
                <w:rFonts w:ascii="Times New Roman" w:hAnsi="Times New Roman"/>
                <w:b w:val="false"/>
                <w:color w:val="auto"/>
              </w:rPr>
              <w:t>93</w:t>
            </w:r>
          </w:p>
        </w:tc>
        <w:tc>
          <w:tcPr>
            <w:tcW w:w="5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 xml:space="preserve">ANO DA PUBLICAÇÃO 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2025</w:t>
            </w:r>
          </w:p>
          <w:p>
            <w:pPr>
              <w:pStyle w:val="TextoFormulrios"/>
              <w:widowControl w:val="false"/>
              <w:rPr/>
            </w:pPr>
            <w:r>
              <w:rPr/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 xml:space="preserve">ORIENTADOR </w:t>
            </w:r>
          </w:p>
          <w:p>
            <w:pPr>
              <w:pStyle w:val="Normal"/>
              <w:widowControl w:val="false"/>
              <w:snapToGrid w:val="false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onsolas;Courier New;monospace" w:hAnsi="Consolas;Courier New;monospace"/>
                <w:b/>
                <w:color w:val="000000"/>
                <w:sz w:val="17"/>
                <w:shd w:fill="auto" w:val="clear"/>
              </w:rPr>
              <w:t>Prof. Dr. Gilney Figueira Zebende</w:t>
            </w:r>
          </w:p>
          <w:p>
            <w:pPr>
              <w:pStyle w:val="Normal"/>
              <w:widowControl w:val="false"/>
              <w:snapToGrid w:val="false"/>
              <w:rPr/>
            </w:pPr>
            <w:r>
              <w:rPr/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COORIENTADOR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/>
              <w:t>Prof. Dr. Juan Alberto Leyva Cruz</w:t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PALAVRAS-CHAVE (PORTUGUÊS)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 xml:space="preserve">Séries Temporais, </w:t>
            </w:r>
            <w:r>
              <w:rPr>
                <w:b/>
              </w:rPr>
              <w:t>DMCx²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DCCA</w:t>
            </w:r>
            <w:r>
              <w:rPr>
                <w:b/>
              </w:rPr>
              <w:t>, Ciência de Dados, Algor</w:t>
            </w:r>
            <w:r>
              <w:rPr>
                <w:b/>
              </w:rPr>
              <w:t>it</w:t>
            </w:r>
            <w:r>
              <w:rPr>
                <w:b/>
              </w:rPr>
              <w:t>mos, otimização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PALAVRAS-CHAVE (LÍNGUA ESTRANGEIRA)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 xml:space="preserve">Time Series, </w:t>
            </w:r>
            <w:r>
              <w:rPr>
                <w:b/>
                <w:lang w:val="pt-PT" w:eastAsia="ar-SA"/>
              </w:rPr>
              <w:t>DMCx²,  P</w:t>
            </w:r>
            <w:r>
              <w:rPr>
                <w:b/>
                <w:vertAlign w:val="subscript"/>
                <w:lang w:val="pt-PT" w:eastAsia="ar-SA"/>
              </w:rPr>
              <w:t>DCCA</w:t>
            </w:r>
            <w:r>
              <w:rPr>
                <w:b/>
                <w:lang w:val="pt-PT" w:eastAsia="ar-SA"/>
              </w:rPr>
              <w:t>, Data Science, Algorithms, Optimization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CURSO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Doutorado em Modelagem em Ci</w:t>
            </w:r>
            <w:r>
              <w:rPr>
                <w:b/>
              </w:rPr>
              <w:t>ê</w:t>
            </w:r>
            <w:r>
              <w:rPr>
                <w:b/>
              </w:rPr>
              <w:t>ncias da Terra e do Ambiente</w:t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PROGRAMA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PROGRAMA DE PÓS-GRADUAÇÃO  EM MODELAGEM EM CIÊNCIAS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DA TERRA E DO AMBIENTE – PPGM - UEFS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10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DEPARTAMENTO/COLEGIADO</w:t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widowControl w:val="false"/>
              <w:snapToGrid w:val="false"/>
              <w:rPr>
                <w:b/>
              </w:rPr>
            </w:pPr>
            <w:r>
              <w:rPr>
                <w:b/>
              </w:rPr>
              <w:t>DEXA</w:t>
            </w:r>
          </w:p>
        </w:tc>
      </w:tr>
    </w:tbl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jc w:val="both"/>
        <w:rPr>
          <w:b/>
        </w:rPr>
      </w:pPr>
      <w:r>
        <w:rPr>
          <w:b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466"/>
      </w:tblGrid>
      <w:tr>
        <w:trPr>
          <w:trHeight w:val="341" w:hRule="atLeast"/>
          <w:cantSplit w:val="true"/>
        </w:trPr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RESUMO EM PORTUGUÊS</w:t>
            </w:r>
          </w:p>
        </w:tc>
      </w:tr>
      <w:tr>
        <w:trPr>
          <w:trHeight w:val="470" w:hRule="atLeast"/>
          <w:cantSplit w:val="true"/>
        </w:trPr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Formulrios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Times New Roman" w:hAnsi="Times New Roman"/>
                <w:b w:val="false"/>
                <w:color w:val="auto"/>
              </w:rPr>
            </w:r>
          </w:p>
          <w:p>
            <w:pPr>
              <w:pStyle w:val="Normal"/>
              <w:widowControl w:val="false"/>
              <w:rPr>
                <w:color w:val="auto"/>
                <w:shd w:fill="FFFFFF" w:val="clear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Esta Tese apresenta uma investigação sobre análise de séries temporais através das funções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DFA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DCCA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e, principalmente nos coeficientes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  <w:vertAlign w:val="subscript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e DMC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bscri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perscri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. Apresenta uma pesquisa bibliográfica focada em métodos baseados no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DFA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que tratam de multi-correlação e as aplicações destas funções e coeficientes nas Ciências Ambientais. Apresentamos também artigos, produzidos no processo desta tese, tratando da aplicação dos coeficientes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  <w:vertAlign w:val="subscript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e DMC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bscri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perscri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.</w:t>
            </w:r>
          </w:p>
          <w:p>
            <w:pPr>
              <w:pStyle w:val="Normal"/>
              <w:widowControl w:val="false"/>
              <w:rPr>
                <w:color w:val="auto"/>
                <w:shd w:fill="FFFFFF" w:val="clear"/>
              </w:rPr>
            </w:pPr>
            <w:r>
              <w:rPr>
                <w:color w:val="000000"/>
                <w:shd w:fill="FFFFFF" w:val="clear"/>
              </w:rPr>
            </w:r>
          </w:p>
          <w:p>
            <w:pPr>
              <w:pStyle w:val="Normal"/>
              <w:spacing w:lineRule="atLeast" w:line="228"/>
              <w:rPr>
                <w:rFonts w:ascii="Consolas;Courier New;monospace" w:hAnsi="Consolas;Courier New;monospace"/>
                <w:b w:val="false"/>
                <w:color w:val="auto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A implementação de uma ferramenta computacional (a biblioteca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000000"/>
                <w:sz w:val="17"/>
                <w:shd w:fill="FFFFFF" w:val="clear"/>
              </w:rPr>
              <w:t>Python</w:t>
            </w:r>
            <w:r>
              <w:rPr>
                <w:rFonts w:ascii="Consolas;Courier New;monospace" w:hAnsi="Consolas;Courier New;monospace"/>
                <w:b/>
                <w:bCs/>
                <w:color w:val="000000"/>
                <w:sz w:val="17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000000"/>
                <w:sz w:val="17"/>
                <w:shd w:fill="FFFFFF" w:val="clear"/>
              </w:rPr>
              <w:t>Zebende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) para a manipulação das séries temporais e cálculo das funções e coeficientes é apresentada , assim como o algor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i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tmo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000000"/>
                <w:sz w:val="17"/>
                <w:shd w:fill="FFFFFF" w:val="clear"/>
              </w:rPr>
              <w:t>Detrended Saved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, uma estratégia inovadora no cálculo do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 de forma geral, mas com vantagens no desempenho quando utilizado para cálculos de muitas séries entre si (como no caso da montágem da matriz do </w:t>
            </w:r>
            <w:r>
              <w:rPr>
                <w:rFonts w:ascii="Consolas;Courier New;monospace" w:hAnsi="Consolas;Courier New;monospace"/>
                <w:b/>
                <w:bCs/>
                <w:color w:val="000000"/>
                <w:sz w:val="20"/>
                <w:szCs w:val="20"/>
                <w:shd w:fill="FFFFFF" w:val="clear"/>
              </w:rPr>
              <w:t>P</w:t>
            </w:r>
            <w:r>
              <w:rPr>
                <w:rFonts w:ascii="Consolas;Courier New;monospace" w:hAnsi="Consolas;Courier New;monospace"/>
                <w:b/>
                <w:bCs/>
                <w:color w:val="000000"/>
                <w:sz w:val="20"/>
                <w:szCs w:val="20"/>
                <w:shd w:fill="FFFFFF" w:val="clear"/>
                <w:vertAlign w:val="subscript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 para calcular o 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DMC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bscri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perscri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, quando um grande número de séries temporais é utilizado). A capacidade da biblioteca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000000"/>
                <w:sz w:val="17"/>
                <w:shd w:fill="FFFFFF" w:val="clear"/>
              </w:rPr>
              <w:t>Zebende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 potencializar a utilização destes coeficientes também é apresentada.</w:t>
            </w:r>
          </w:p>
          <w:p>
            <w:pPr>
              <w:pStyle w:val="TextoFormulrios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Times New Roman" w:hAnsi="Times New Roman"/>
                <w:b w:val="false"/>
                <w:color w:val="auto"/>
              </w:rPr>
            </w:r>
          </w:p>
        </w:tc>
      </w:tr>
    </w:tbl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0466"/>
      </w:tblGrid>
      <w:tr>
        <w:trPr>
          <w:trHeight w:val="341" w:hRule="atLeast"/>
          <w:cantSplit w:val="true"/>
        </w:trPr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RESUMO EM LÍNGUA ESTRANGEIRA</w:t>
            </w:r>
          </w:p>
        </w:tc>
      </w:tr>
      <w:tr>
        <w:trPr>
          <w:trHeight w:val="470" w:hRule="atLeast"/>
          <w:cantSplit w:val="true"/>
        </w:trPr>
        <w:tc>
          <w:tcPr>
            <w:tcW w:w="10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oFormulrios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Times New Roman" w:hAnsi="Times New Roman"/>
                <w:b w:val="false"/>
                <w:color w:val="auto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This thesis presents an investigation into the analysis of time series through the functions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DFA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,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 xml:space="preserve">DCCA 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and, mainly, the coefficients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  <w:vertAlign w:val="subscript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and DMC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bscri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perscri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.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 It presents a bibliographic research focused on methods based on 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DFA 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that treat multi-correlation and the applications of these functions and coefficients in Environmental Sciences. We also present articles produced in the process of this thesis, dealing with the application of the coefficients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zCs w:val="20"/>
                <w:shd w:fill="FFFFFF" w:val="clear"/>
                <w:vertAlign w:val="subscript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and DMC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bscri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perscri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7"/>
                <w:sz w:val="17"/>
                <w:shd w:fill="FFFFFF" w:val="clear"/>
                <w:vertAlign w:val="baseline"/>
              </w:rPr>
              <w:t>.</w:t>
            </w:r>
          </w:p>
          <w:p>
            <w:pPr>
              <w:pStyle w:val="Normal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b w:val="false"/>
                <w:color w:val="auto"/>
              </w:rPr>
            </w:pPr>
            <w:r>
              <w:rPr/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The implementation of a computational tool (the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3B3B3B"/>
                <w:sz w:val="17"/>
                <w:shd w:fill="FFFFFF" w:val="clear"/>
              </w:rPr>
              <w:t>Python</w:t>
            </w:r>
            <w:r>
              <w:rPr>
                <w:rFonts w:ascii="Consolas;Courier New;monospace" w:hAnsi="Consolas;Courier New;monospace"/>
                <w:b/>
                <w:bCs/>
                <w:color w:val="3B3B3B"/>
                <w:sz w:val="17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3B3B3B"/>
                <w:sz w:val="17"/>
                <w:shd w:fill="FFFFFF" w:val="clear"/>
              </w:rPr>
              <w:t>Zebende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 library) for manipulating time series and calculating the functions and coefficients is presented, as well as the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3B3B3B"/>
                <w:sz w:val="17"/>
                <w:shd w:fill="FFFFFF" w:val="clear"/>
              </w:rPr>
              <w:t>Detrended Saved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 algorithm, an innovative strategy in the general calculation of </w:t>
            </w:r>
            <w:r>
              <w:rPr>
                <w:rFonts w:ascii="Consolas;Courier New;monospace" w:hAnsi="Consolas;Courier New;monospace"/>
                <w:b w:val="false"/>
                <w:color w:val="795E26"/>
                <w:sz w:val="17"/>
                <w:shd w:fill="FFFFFF" w:val="clear"/>
              </w:rPr>
              <w:t>DCCA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, but with advantages in performance when used for calculations of many series among themselves (such as in the case of matrix construction of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20"/>
                <w:shd w:fill="FFFFFF" w:val="clear"/>
                <w:lang w:val="pt-PT"/>
              </w:rPr>
              <w:t>P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-2"/>
                <w:sz w:val="16"/>
                <w:sz w:val="20"/>
                <w:shd w:fill="FFFFFF" w:val="clear"/>
                <w:lang w:val="pt-PT"/>
              </w:rPr>
              <w:t>dcca</w:t>
            </w:r>
            <w:r>
              <w:rPr>
                <w:color w:val="000000"/>
                <w:shd w:fill="FFFFFF" w:val="clear"/>
                <w:lang w:val="pt-PT"/>
              </w:rPr>
              <w:t xml:space="preserve">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6"/>
                <w:shd w:fill="FFFFFF" w:val="clear"/>
                <w:lang w:val="pt-PT"/>
              </w:rPr>
              <w:t>e DMC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-1"/>
                <w:sz w:val="13"/>
                <w:sz w:val="16"/>
                <w:shd w:fill="FFFFFF" w:val="clear"/>
                <w:lang w:val="pt-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5"/>
                <w:sz w:val="13"/>
                <w:sz w:val="16"/>
                <w:shd w:fill="FFFFFF" w:val="clear"/>
                <w:lang w:val="pt-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000000"/>
                <w:position w:val="0"/>
                <w:sz w:val="16"/>
                <w:sz w:val="16"/>
                <w:shd w:fill="FFFFFF" w:val="clear"/>
                <w:vertAlign w:val="baseline"/>
                <w:lang w:val="pt-PT"/>
              </w:rPr>
              <w:t>.</w:t>
            </w:r>
          </w:p>
          <w:p>
            <w:pPr>
              <w:pStyle w:val="Normal"/>
              <w:spacing w:lineRule="atLeast" w:line="228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to calculate 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</w:rPr>
              <w:t>DMC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bscript"/>
              </w:rPr>
              <w:t>x</w:t>
            </w:r>
            <w:r>
              <w:rPr>
                <w:rFonts w:ascii="Consolas;Courier New;monospace" w:hAnsi="Consolas;Courier New;monospace"/>
                <w:b w:val="false"/>
                <w:color w:val="000000"/>
                <w:sz w:val="17"/>
                <w:shd w:fill="FFFFFF" w:val="clear"/>
                <w:vertAlign w:val="superscript"/>
              </w:rPr>
              <w:t>2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>, when a large number of time series is used). The capacity of the</w:t>
            </w:r>
            <w:r>
              <w:rPr>
                <w:rFonts w:ascii="Consolas;Courier New;monospace" w:hAnsi="Consolas;Courier New;monospace"/>
                <w:b/>
                <w:bCs/>
                <w:color w:val="3B3B3B"/>
                <w:sz w:val="17"/>
                <w:shd w:fill="FFFFFF" w:val="clear"/>
              </w:rPr>
              <w:t xml:space="preserve"> </w:t>
            </w:r>
            <w:r>
              <w:rPr>
                <w:rFonts w:ascii="Consolas;Courier New;monospace" w:hAnsi="Consolas;Courier New;monospace"/>
                <w:b/>
                <w:bCs/>
                <w:i/>
                <w:color w:val="3B3B3B"/>
                <w:sz w:val="17"/>
                <w:shd w:fill="FFFFFF" w:val="clear"/>
              </w:rPr>
              <w:t>Zebende</w:t>
            </w:r>
            <w:r>
              <w:rPr>
                <w:rFonts w:ascii="Consolas;Courier New;monospace" w:hAnsi="Consolas;Courier New;monospace"/>
                <w:b w:val="false"/>
                <w:color w:val="3B3B3B"/>
                <w:sz w:val="17"/>
                <w:shd w:fill="FFFFFF" w:val="clear"/>
              </w:rPr>
              <w:t xml:space="preserve"> library to enhance the use of these coefficients is also presented.</w:t>
            </w:r>
          </w:p>
          <w:p>
            <w:pPr>
              <w:pStyle w:val="TextoFormulrios"/>
              <w:widowControl w:val="false"/>
              <w:rPr>
                <w:rFonts w:ascii="Times New Roman" w:hAnsi="Times New Roman"/>
                <w:b w:val="false"/>
                <w:color w:val="auto"/>
              </w:rPr>
            </w:pPr>
            <w:r>
              <w:rPr>
                <w:rFonts w:ascii="Times New Roman" w:hAnsi="Times New Roman"/>
                <w:b w:val="false"/>
                <w:color w:val="auto"/>
              </w:rPr>
            </w:r>
          </w:p>
        </w:tc>
      </w:tr>
    </w:tbl>
    <w:p>
      <w:pPr>
        <w:pStyle w:val="Normal"/>
        <w:tabs>
          <w:tab w:val="clear" w:pos="720"/>
          <w:tab w:val="left" w:pos="1008" w:leader="none"/>
          <w:tab w:val="left" w:pos="1152" w:leader="none"/>
          <w:tab w:val="left" w:pos="1728" w:leader="none"/>
        </w:tabs>
        <w:rPr>
          <w:sz w:val="22"/>
          <w:szCs w:val="22"/>
        </w:rPr>
      </w:pPr>
      <w:r>
        <w:rPr/>
      </w:r>
    </w:p>
    <w:sectPr>
      <w:headerReference w:type="default" r:id="rId3"/>
      <w:type w:val="nextPage"/>
      <w:pgSz w:w="11906" w:h="16838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ucida Handwriting">
    <w:charset w:val="00"/>
    <w:family w:val="roman"/>
    <w:pitch w:val="variable"/>
  </w:font>
  <w:font w:name="Lucida Grande">
    <w:charset w:val="00"/>
    <w:family w:val="roman"/>
    <w:pitch w:val="variable"/>
  </w:font>
  <w:font w:name="Albany AMT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 w:semiHidden="1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 w:semiHidden="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PT" w:eastAsia="ar-S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epargpadro1" w:customStyle="1">
    <w:name w:val="Fonte parág. padrão1"/>
    <w:qFormat/>
    <w:rPr/>
  </w:style>
  <w:style w:type="character" w:styleId="APSEE" w:customStyle="1">
    <w:name w:val="APSEE"/>
    <w:qFormat/>
    <w:rPr>
      <w:rFonts w:ascii="Lucida Handwriting" w:hAnsi="Lucida Handwriting"/>
      <w:sz w:val="20"/>
    </w:rPr>
  </w:style>
  <w:style w:type="character" w:styleId="BalloonTextChar" w:customStyle="1">
    <w:name w:val="Balloon Text Char"/>
    <w:basedOn w:val="DefaultParagraphFont"/>
    <w:link w:val="BalloonText"/>
    <w:qFormat/>
    <w:rsid w:val="004f1fa4"/>
    <w:rPr>
      <w:rFonts w:ascii="Lucida Grande" w:hAnsi="Lucida Grande" w:cs="Lucida Grande"/>
      <w:sz w:val="18"/>
      <w:szCs w:val="18"/>
      <w:lang w:val="pt-PT" w:eastAsia="ar-SA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Albany AMT" w:hAnsi="Albany AMT" w:eastAsia="Albany AMT" w:cs="Albany AMT"/>
      <w:sz w:val="28"/>
      <w:szCs w:val="28"/>
    </w:rPr>
  </w:style>
  <w:style w:type="paragraph" w:styleId="Corpodotexto">
    <w:name w:val="Body Text"/>
    <w:basedOn w:val="Normal"/>
    <w:pPr>
      <w:spacing w:before="0" w:after="120"/>
    </w:pPr>
    <w:rPr/>
  </w:style>
  <w:style w:type="paragraph" w:styleId="Lista">
    <w:name w:val="List"/>
    <w:basedOn w:val="Corpodotexto"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Caption1" w:customStyle="1">
    <w:name w:val="Caption1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tuloArtigo" w:customStyle="1">
    <w:name w:val="Título Artigo"/>
    <w:basedOn w:val="Normal"/>
    <w:qFormat/>
    <w:pPr>
      <w:jc w:val="center"/>
    </w:pPr>
    <w:rPr>
      <w:b/>
      <w:bCs/>
      <w:sz w:val="28"/>
      <w:lang w:val="pt-BR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Rodap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Dados" w:customStyle="1">
    <w:name w:val="Dados"/>
    <w:basedOn w:val="Normal"/>
    <w:qFormat/>
    <w:rsid w:val="007f1d43"/>
    <w:pPr>
      <w:spacing w:before="40" w:after="0"/>
      <w:ind w:left="57" w:right="57" w:hanging="0"/>
    </w:pPr>
    <w:rPr>
      <w:rFonts w:ascii="Arial" w:hAnsi="Arial"/>
      <w:sz w:val="22"/>
      <w:lang w:val="pt-BR"/>
    </w:rPr>
  </w:style>
  <w:style w:type="paragraph" w:styleId="TextoFormulrios" w:customStyle="1">
    <w:name w:val="TextoFormulários"/>
    <w:basedOn w:val="Normal"/>
    <w:qFormat/>
    <w:rsid w:val="006a218e"/>
    <w:pPr>
      <w:jc w:val="both"/>
    </w:pPr>
    <w:rPr>
      <w:rFonts w:ascii="Arial" w:hAnsi="Arial"/>
      <w:b/>
      <w:color w:val="0000FF"/>
      <w:lang w:val="pt-BR"/>
    </w:rPr>
  </w:style>
  <w:style w:type="paragraph" w:styleId="BalloonText">
    <w:name w:val="Balloon Text"/>
    <w:basedOn w:val="Normal"/>
    <w:link w:val="BalloonTextChar"/>
    <w:qFormat/>
    <w:rsid w:val="004f1fa4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72"/>
    <w:qFormat/>
    <w:rsid w:val="0094235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Application>LibreOffice/7.5.5.2$Windows_X86_64 LibreOffice_project/ca8fe7424262805f223b9a2334bc7181abbcbf5e</Application>
  <AppVersion>15.0000</AppVersion>
  <Pages>2</Pages>
  <Words>439</Words>
  <Characters>2529</Characters>
  <CharactersWithSpaces>2937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2014-09-13T15:26:00Z</dcterms:created>
  <dc:creator>Rodrigo Quites Reis</dc:creator>
  <dc:description/>
  <dc:language>pt-BR</dc:language>
  <cp:lastModifiedBy/>
  <cp:lastPrinted>2113-01-01T03:00:00Z</cp:lastPrinted>
  <dcterms:modified xsi:type="dcterms:W3CDTF">2025-07-22T17:06:53Z</dcterms:modified>
  <cp:revision>19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