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168FE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240" w:line="240" w:lineRule="auto"/>
        <w:ind w:right="0" w:firstLine="0" w:left="0"/>
        <w:jc w:val="both"/>
        <w:rPr>
          <w:rFonts w:ascii="Times New Roman" w:hAnsi="Times New Roman" w:eastAsia="Times New Roman" w:cs="Times New Roman"/>
          <w:b/>
          <w:bCs/>
          <w:color w:val="000000" w:themeColor="text1"/>
          <w:sz w:val="32"/>
          <w:szCs w:val="32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32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u w:val="none"/>
        </w:rPr>
        <w:t xml:space="preserve">Physicochemical Investigation of Benzimidazole–Rhamnolipid Interactions for Topical Drug Delivery Applications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32"/>
          <w:szCs w:val="32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32"/>
          <w:szCs w:val="32"/>
          <w:highlight w:val="none"/>
        </w:rPr>
      </w:r>
    </w:p>
    <w:p w14:paraId="40D5FE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240" w:line="240" w:lineRule="auto"/>
        <w:ind w:right="0" w:firstLine="0" w:left="0"/>
        <w:jc w:val="both"/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0"/>
          <w:szCs w:val="20"/>
          <w:highlight w:val="none"/>
          <w:vertAlign w:val="superscript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0"/>
          <w:szCs w:val="18"/>
          <w:highlight w:val="none"/>
        </w:rPr>
        <w:t xml:space="preserve">Shan Ghai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0"/>
          <w:szCs w:val="18"/>
          <w:highlight w:val="none"/>
          <w:vertAlign w:val="superscript"/>
        </w:rPr>
        <w:t xml:space="preserve">1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0"/>
          <w:szCs w:val="18"/>
          <w:highlight w:val="none"/>
        </w:rPr>
        <w:t xml:space="preserve">, Sandeep Chauhan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0"/>
          <w:szCs w:val="18"/>
          <w:highlight w:val="none"/>
          <w:vertAlign w:val="superscript"/>
        </w:rPr>
        <w:t xml:space="preserve">2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0"/>
          <w:szCs w:val="18"/>
          <w:highlight w:val="none"/>
        </w:rPr>
        <w:t xml:space="preserve">, Poonam Sharma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0"/>
          <w:szCs w:val="18"/>
          <w:highlight w:val="none"/>
          <w:vertAlign w:val="superscript"/>
        </w:rPr>
        <w:t xml:space="preserve">1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0"/>
          <w:szCs w:val="20"/>
          <w:highlight w:val="none"/>
          <w:vertAlign w:val="superscript"/>
        </w:rPr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0"/>
          <w:szCs w:val="20"/>
          <w:highlight w:val="none"/>
          <w:vertAlign w:val="superscript"/>
        </w:rPr>
      </w:r>
    </w:p>
    <w:p w14:paraId="3F062D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jc w:val="both"/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0"/>
          <w:szCs w:val="20"/>
          <w:highlight w:val="none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0"/>
          <w:szCs w:val="20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0"/>
          <w:szCs w:val="20"/>
          <w:highlight w:val="none"/>
          <w:vertAlign w:val="superscript"/>
        </w:rPr>
        <w:t xml:space="preserve">1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0"/>
          <w:szCs w:val="20"/>
          <w:highlight w:val="none"/>
          <w:vertAlign w:val="baseline"/>
        </w:rPr>
        <w:t xml:space="preserve">J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0"/>
          <w:szCs w:val="20"/>
          <w:highlight w:val="none"/>
          <w:vertAlign w:val="baseline"/>
        </w:rPr>
        <w:t xml:space="preserve">aypee University of Information Technology, Department of Biotechnology and Bioinformatics.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0"/>
          <w:szCs w:val="20"/>
          <w:vertAlign w:val="baseline"/>
        </w:rPr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0"/>
          <w:szCs w:val="20"/>
          <w:highlight w:val="none"/>
          <w:vertAlign w:val="baseline"/>
        </w:rPr>
      </w:r>
    </w:p>
    <w:p w14:paraId="29AC1A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jc w:val="both"/>
        <w:rPr>
          <w:rFonts w:ascii="Times New Roman" w:hAnsi="Times New Roman" w:cs="Times New Roman"/>
          <w:b w:val="0"/>
          <w:bCs w:val="0"/>
          <w:color w:val="000000" w:themeColor="text1"/>
          <w:sz w:val="20"/>
          <w:szCs w:val="20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0"/>
          <w:szCs w:val="20"/>
          <w:highlight w:val="none"/>
          <w:vertAlign w:val="superscript"/>
        </w:rPr>
        <w:t xml:space="preserve">2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0"/>
          <w:szCs w:val="20"/>
          <w:highlight w:val="none"/>
          <w:vertAlign w:val="baseline"/>
        </w:rPr>
        <w:t xml:space="preserve">Himachal Pradesh University, Department of Chemistry.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0"/>
          <w:szCs w:val="20"/>
          <w:vertAlign w:val="baseline"/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sz w:val="20"/>
          <w:szCs w:val="20"/>
          <w:vertAlign w:val="baseline"/>
        </w:rPr>
      </w:r>
    </w:p>
    <w:p w14:paraId="1F62B7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jc w:val="both"/>
        <w:rPr>
          <w:rFonts w:ascii="Times" w:hAnsi="Times" w:eastAsia="Times" w:cs="Times"/>
          <w:b/>
          <w:bCs/>
          <w:color w:val="000000" w:themeColor="text1"/>
          <w:sz w:val="24"/>
          <w:szCs w:val="24"/>
          <w:highlight w:val="none"/>
        </w:rPr>
      </w:pPr>
      <w:r>
        <w:rPr>
          <w:rFonts w:ascii="Times" w:hAnsi="Times" w:eastAsia="Times" w:cs="Times"/>
          <w:b/>
          <w:color w:val="000000" w:themeColor="text1"/>
          <w:sz w:val="24"/>
          <w:highlight w:val="none"/>
        </w:rPr>
      </w:r>
      <w:r>
        <w:rPr>
          <w:rFonts w:ascii="Times" w:hAnsi="Times" w:eastAsia="Times" w:cs="Times"/>
          <w:b/>
          <w:color w:val="000000" w:themeColor="text1"/>
          <w:sz w:val="24"/>
          <w:highlight w:val="none"/>
        </w:rPr>
      </w:r>
      <w:r>
        <w:rPr>
          <w:rFonts w:ascii="Times" w:hAnsi="Times" w:eastAsia="Times" w:cs="Times"/>
          <w:b/>
          <w:bCs/>
          <w:color w:val="000000" w:themeColor="text1"/>
          <w:sz w:val="24"/>
          <w:szCs w:val="24"/>
          <w:highlight w:val="none"/>
        </w:rPr>
      </w:r>
    </w:p>
    <w:p w14:paraId="27D70F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jc w:val="both"/>
        <w:rPr>
          <w:rFonts w:ascii="Times" w:hAnsi="Times" w:eastAsia="Times" w:cs="Times"/>
          <w:b/>
          <w:bCs/>
          <w:color w:val="000000" w:themeColor="text1"/>
          <w:sz w:val="24"/>
          <w:szCs w:val="24"/>
          <w:highlight w:val="none"/>
        </w:rPr>
      </w:pPr>
      <w:r>
        <w:rPr>
          <w:rFonts w:ascii="Times" w:hAnsi="Times" w:eastAsia="Times" w:cs="Times"/>
          <w:b/>
          <w:color w:val="000000" w:themeColor="text1"/>
          <w:sz w:val="24"/>
        </w:rPr>
        <w:t xml:space="preserve">Abstract</w:t>
      </w:r>
      <w:r>
        <w:rPr>
          <w:color w:val="000000" w:themeColor="text1"/>
        </w:rPr>
      </w:r>
      <w:r>
        <w:rPr>
          <w:rFonts w:ascii="Times" w:hAnsi="Times" w:eastAsia="Times" w:cs="Times"/>
          <w:b/>
          <w:bCs/>
          <w:color w:val="000000" w:themeColor="text1"/>
          <w:sz w:val="24"/>
          <w:szCs w:val="24"/>
          <w:highlight w:val="none"/>
        </w:rPr>
      </w:r>
    </w:p>
    <w:p w14:paraId="6CDCF5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jc w:val="both"/>
        <w:rPr>
          <w:rFonts w:ascii="Times" w:hAnsi="Times" w:eastAsia="Times" w:cs="Times"/>
          <w:color w:val="000000" w:themeColor="text1"/>
          <w:sz w:val="24"/>
          <w:szCs w:val="24"/>
        </w:rPr>
      </w:pPr>
      <w:r>
        <w:rPr>
          <w:rFonts w:ascii="Times" w:hAnsi="Times" w:eastAsia="Times" w:cs="Times"/>
          <w:color w:val="000000" w:themeColor="text1"/>
          <w:sz w:val="24"/>
        </w:rPr>
        <w:t>The interaction of benzimidazole with the biosurfactant rhamnolipid was examined in hydroethanolic media to characterise the physicochemical behaviour of the drug-surfactant system for topical delivery. Density (ρ), surface tension (σ) and contact angle (θ) were measured at 15 °C in 30 % and 50 % (v/v) ethanol over a range of benzimidazole and rhamnolipid concentrations. Surface tension decreased progressively with increasing rhamnolipid concentration, consistent with adsorption of the biosurfactant at the air-liquid interface followed by micelle formation. The critical micelle concentration (CMC) increased with ethanol content and with [benzimidazole concentration], indicating that solvent composition and drug loading both affect aggregation. Contact angle measurements were used to assess the wettability of the benzimidazole-rhamnolipid mixtures. The changes in surface tension and CMC reflect interactions among benzimidazole, rhamnolipid and the hydroethanolic solvent, and provide a basis for adjusting the composition of rhamnolipid-based formulations for topical drug delivery.</w:t>
      </w:r>
      <w:r>
        <w:rPr>
          <w:rFonts w:ascii="Times" w:hAnsi="Times" w:eastAsia="Times" w:cs="Times"/>
          <w:color w:val="000000" w:themeColor="text1"/>
          <w:sz w:val="24"/>
        </w:rPr>
      </w:r>
      <w:r>
        <w:rPr>
          <w:rFonts w:ascii="Times" w:hAnsi="Times" w:eastAsia="Times" w:cs="Times"/>
          <w:color w:val="000000" w:themeColor="text1"/>
          <w:sz w:val="24"/>
        </w:rPr>
      </w:r>
      <w:r>
        <w:rPr>
          <w:rFonts w:ascii="Times" w:hAnsi="Times" w:eastAsia="Times" w:cs="Times"/>
          <w:color w:val="000000" w:themeColor="text1"/>
          <w:sz w:val="24"/>
        </w:rPr>
      </w:r>
      <w:r>
        <w:rPr>
          <w:rFonts w:ascii="Times" w:hAnsi="Times" w:eastAsia="Times" w:cs="Times"/>
          <w:color w:val="000000" w:themeColor="text1"/>
          <w:sz w:val="24"/>
        </w:rPr>
      </w:r>
      <w:r>
        <w:rPr>
          <w:rFonts w:ascii="Times" w:hAnsi="Times" w:eastAsia="Times" w:cs="Times"/>
          <w:color w:val="000000" w:themeColor="text1"/>
          <w:sz w:val="24"/>
        </w:rPr>
      </w:r>
      <w:r>
        <w:rPr>
          <w:rFonts w:ascii="Times" w:hAnsi="Times" w:eastAsia="Times" w:cs="Times"/>
          <w:color w:val="000000" w:themeColor="text1"/>
          <w:sz w:val="24"/>
          <w:szCs w:val="24"/>
        </w:rPr>
      </w:r>
    </w:p>
    <w:p w14:paraId="44BB79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jc w:val="both"/>
        <w:rPr>
          <w:rFonts w:ascii="Times" w:hAnsi="Times" w:eastAsia="Times" w:cs="Times"/>
          <w:color w:val="000000" w:themeColor="text1"/>
          <w:sz w:val="24"/>
          <w:szCs w:val="24"/>
        </w:rPr>
      </w:pPr>
      <w:r>
        <w:rPr>
          <w:rFonts w:ascii="Times" w:hAnsi="Times" w:eastAsia="Times" w:cs="Times"/>
          <w:color w:val="000000" w:themeColor="text1"/>
          <w:sz w:val="24"/>
        </w:rPr>
      </w:r>
      <w:r>
        <w:rPr>
          <w:rFonts w:ascii="Times" w:hAnsi="Times" w:eastAsia="Times" w:cs="Times"/>
          <w:color w:val="000000" w:themeColor="text1"/>
          <w:sz w:val="24"/>
        </w:rPr>
      </w:r>
      <w:r>
        <w:rPr>
          <w:rFonts w:ascii="Times" w:hAnsi="Times" w:eastAsia="Times" w:cs="Times"/>
          <w:color w:val="000000" w:themeColor="text1"/>
          <w:sz w:val="24"/>
        </w:rPr>
      </w:r>
      <w:r>
        <w:rPr>
          <w:rFonts w:ascii="Times" w:hAnsi="Times" w:eastAsia="Times" w:cs="Times"/>
          <w:color w:val="000000" w:themeColor="text1"/>
          <w:sz w:val="24"/>
        </w:rPr>
      </w:r>
      <w:r>
        <w:rPr>
          <w:rFonts w:ascii="Times" w:hAnsi="Times" w:eastAsia="Times" w:cs="Times"/>
          <w:color w:val="000000" w:themeColor="text1"/>
          <w:sz w:val="24"/>
        </w:rPr>
      </w:r>
      <w:r>
        <w:rPr>
          <w:rFonts w:ascii="Times" w:hAnsi="Times" w:eastAsia="Times" w:cs="Times"/>
          <w:color w:val="000000" w:themeColor="text1"/>
          <w:sz w:val="24"/>
        </w:rPr>
      </w:r>
      <w:r>
        <w:rPr>
          <w:rFonts w:ascii="Times" w:hAnsi="Times" w:eastAsia="Times" w:cs="Times"/>
          <w:color w:val="000000" w:themeColor="text1"/>
          <w:sz w:val="24"/>
          <w:szCs w:val="24"/>
        </w:rPr>
      </w:r>
    </w:p>
    <w:p>
      <w:pPr>
        <w:pBdr/>
        <w:spacing w:line="240" w:lineRule="auto"/>
        <w:ind/>
        <w:jc w:val="both"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">
    <w:panose1 w:val="00000500000000020000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2026-10-06T10:04:32Z</dcterms:modified>
</cp:coreProperties>
</file>