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基于真实学生行为数据的学习效果预测与个性化学习路径推荐研究</w:t>
      </w:r>
    </w:p>
    <w:p>
      <w:pPr>
        <w:spacing w:line="360" w:lineRule="auto" w:after="120"/>
        <w:ind w:firstLine="420"/>
      </w:pPr>
      <w:r>
        <w:t>韩文迪</w:t>
      </w:r>
    </w:p>
    <w:p>
      <w:pPr>
        <w:spacing w:line="360" w:lineRule="auto" w:after="120"/>
        <w:ind w:firstLine="420"/>
      </w:pPr>
      <w:r>
        <w:t>（设计学院）</w:t>
      </w:r>
    </w:p>
    <w:p>
      <w:r>
        <w:rPr>
          <w:rFonts w:ascii="黑体" w:hAnsi="黑体" w:eastAsia="黑体"/>
          <w:b/>
          <w:sz w:val="30"/>
        </w:rPr>
        <w:t>摘要</w:t>
      </w:r>
    </w:p>
    <w:p>
      <w:pPr>
        <w:spacing w:line="360" w:lineRule="auto" w:after="120"/>
        <w:ind w:firstLine="420"/>
      </w:pPr>
      <w:r>
        <w:t xml:space="preserve">在智慧教育持续推进的背景下，如何利用学生学习行为数据实现学习效果预测，并进一步支持可执行的个性化学习路径推荐，已成为教育数据挖掘与学习分析研究中的关键问题。本文基于 UCI Student Performance 真实公开数据集开展实证研究，数据由数学课程与葡语课程两部分构成，合并后共 1044 条样本，覆盖家庭背景、学习行为、学校支持与成绩结果等多维信息。研究以期末成绩 </w:t>
      </w:r>
      <w:r>
        <w:rPr>
          <w:rFonts w:ascii="Consolas" w:hAnsi="Consolas" w:eastAsia="Consolas"/>
        </w:rPr>
        <w:t>G3</w:t>
      </w:r>
      <w:r>
        <w:t xml:space="preserve"> 为预测目标，在严格控制标签泄漏的前提下，构建统一数据处理与模型评估流程，对 Ridge、Random Forest、Extra Trees 与 XGBoost 四类回归模型进行系统比较。实验采用 10 折交叉验证与独立测试集双重评估，结果显示 XGBoost 在主要指标上表现最优（CV RMSE=3.003，CV MAE=2.212，CV R²=0.378；测试集 RMSE=3.335，MAE=2.438，R²=0.281），说明其在教育场景中的非线性建模能力与稳定性更具优势。在预测基础上，本文进一步提出分层化学习路径推荐机制，将预测成绩映射为四类学习支持策略，形成“状态识别—路径分发—教学干预”的闭环。研究从特征重要性与误差结构两个维度分析模型行为，发现历史挂科次数、缺勤、学校支持与学习时间等因素与学习结果存在显著关联。本文还讨论了跨地域迁移、时序行为建模与干预因果评估等实际落地问题，并提出后续优化方向。总体而言，本研究验证了真实教育数据驱动的集成学习方法在学习预测与个性化推荐中的应用价值，可为智慧教育平台的教学决策模块提供可复现实证依据。</w:t>
      </w:r>
    </w:p>
    <w:p>
      <w:pPr>
        <w:spacing w:line="360" w:lineRule="auto" w:after="120"/>
        <w:ind w:firstLine="420"/>
      </w:pPr>
      <w:r>
        <w:t>关键词：教育数据挖掘；学习效果预测；学习分析；XGBoost；个性化学习路径推荐</w:t>
      </w:r>
    </w:p>
    <w:p>
      <w:r>
        <w:rPr>
          <w:rFonts w:ascii="黑体" w:hAnsi="黑体" w:eastAsia="黑体"/>
          <w:b/>
          <w:sz w:val="30"/>
        </w:rPr>
        <w:t>1 引言</w:t>
      </w:r>
    </w:p>
    <w:p>
      <w:pPr>
        <w:spacing w:line="360" w:lineRule="auto" w:after="120"/>
        <w:ind w:firstLine="420"/>
      </w:pPr>
      <w:r>
        <w:t>教育数字化转型正在改变传统教学组织方式。在线作业系统、课堂互动平台、学习管理系统与校园数据中台持续记录学生学习全过程，使教学评价逐渐由“结果导向”转向“过程与结果并重”。然而，数据可得并不等于教学可用。真实教学场景中，学生在学习投入、家庭文化资本、课堂参与和学习支持条件上的差异非常显著，同一教学策略往往对不同学生产生不同结果，这也是统一化教学难以应对的核心问题。</w:t>
      </w:r>
    </w:p>
    <w:p>
      <w:pPr>
        <w:spacing w:line="360" w:lineRule="auto" w:after="120"/>
        <w:ind w:firstLine="420"/>
      </w:pPr>
      <w:r>
        <w:t>学习效果预测的价值并不只在于估计成绩，更在于帮助教师更早识别风险、更精准配置支持资源。当前教育场景已经具备较好的数据基础，但仍缺少一套同时满足可解释、可复现、可执行的分析路径。本文据此展开研究，目标是构建一个从预测到推荐再到干预的完整闭环，使模型输出能够直接转化为课堂与课后辅导中的具体行动。</w:t>
      </w:r>
    </w:p>
    <w:p>
      <w:r>
        <w:rPr>
          <w:rFonts w:ascii="黑体" w:hAnsi="黑体" w:eastAsia="黑体"/>
          <w:b/>
          <w:sz w:val="30"/>
        </w:rPr>
        <w:t>2 国内外研究现状</w:t>
      </w:r>
    </w:p>
    <w:p>
      <w:pPr>
        <w:spacing w:line="360" w:lineRule="auto" w:after="120"/>
        <w:ind w:firstLine="420"/>
      </w:pPr>
      <w:r>
        <w:t>国外在教育数据挖掘与学习分析方面起步较早，研究主线从成绩预测逐步拓展到辍学预警、知识追踪、学习行为建模与教学干预评估。早期研究强调从行为日志中提取稳定特征，建立可泛化的预测模型，后续研究则更关注预测结果如何真正服务教学决策。大量文献表明，学习时长、历史学业表现、作业完成情况、缺勤行为与学习支持条件通常与学业结果存在稳定关联。与此同时，国外研究也逐渐意识到，仅有高预测精度不足以带来教育收益，模型必须与干预策略协同设计，才能产生真实的学习改进效果。</w:t>
      </w:r>
    </w:p>
    <w:p>
      <w:pPr>
        <w:spacing w:line="360" w:lineRule="auto" w:after="120"/>
        <w:ind w:firstLine="420"/>
      </w:pPr>
      <w:r>
        <w:t>国内相关研究近年发展很快，尤其在智慧校园建设、在线学习平台应用和教学过程数据采集方面取得明显进展。许多研究围绕学习预警、课程成绩预测、个性化资源推荐展开，并在中小学与高校场景中形成了不少实践案例。国内研究的优势在于应用推进快、场景结合紧，但也存在一些共性问题，例如实验样本规模有限、验证流程不够统一、对独立测试集和跨场景迁移关注不足，以及推荐策略与教学执行之间衔接不够紧密。部分工作在模型精度层面表现较好，但在“为什么有效、如何落地、是否长期有效”这些关键问题上论证仍然不足。</w:t>
      </w:r>
    </w:p>
    <w:p>
      <w:pPr>
        <w:spacing w:line="360" w:lineRule="auto" w:after="120"/>
        <w:ind w:firstLine="420"/>
      </w:pPr>
      <w:r>
        <w:t>综合国内外文献可以看到，教育预测研究正在由“模型竞赛”走向“教学价值评估”。也就是说，研究重点不再只是比较算法谁更准，而是要回答预测结果能否被教师使用、能否转化为可执行的干预动作、能否在不同群体上保持公平与稳定。本文正是在这一趋势下，采用真实公开数据，强调标签泄漏控制、双重验证与推荐落地设计，尝试把模型性能、教育解释与教学实施统一到同一研究框架中。</w:t>
      </w:r>
    </w:p>
    <w:p>
      <w:r>
        <w:rPr>
          <w:rFonts w:ascii="黑体" w:hAnsi="黑体" w:eastAsia="黑体"/>
          <w:b/>
          <w:sz w:val="30"/>
        </w:rPr>
        <w:t>3 数据与任务定义</w:t>
      </w:r>
    </w:p>
    <w:p>
      <w:pPr>
        <w:spacing w:line="360" w:lineRule="auto" w:after="120"/>
        <w:ind w:firstLine="420"/>
      </w:pPr>
      <w:r>
        <w:t xml:space="preserve">本文使用 UCI Machine Learning Repository 的 Student Performance 数据集，包含 </w:t>
      </w:r>
      <w:r>
        <w:rPr>
          <w:rFonts w:ascii="Consolas" w:hAnsi="Consolas" w:eastAsia="Consolas"/>
        </w:rPr>
        <w:t>student-mat.csv</w:t>
      </w:r>
      <w:r>
        <w:t xml:space="preserve"> 与 </w:t>
      </w:r>
      <w:r>
        <w:rPr>
          <w:rFonts w:ascii="Consolas" w:hAnsi="Consolas" w:eastAsia="Consolas"/>
        </w:rPr>
        <w:t>student-por.csv</w:t>
      </w:r>
      <w:r>
        <w:t xml:space="preserve"> 两个子集。将数学课程与葡语课程合并后，共得到 1044 条样本。数据字段涵盖学生人口属性、家庭背景、学校与家庭支持、学习行为、缺勤情况以及成绩信息，具有典型的教育结构化数据特征。</w:t>
      </w:r>
    </w:p>
    <w:p>
      <w:pPr>
        <w:spacing w:line="360" w:lineRule="auto" w:after="120"/>
        <w:ind w:firstLine="420"/>
      </w:pPr>
      <w:r>
        <w:t xml:space="preserve">研究目标变量设定为 </w:t>
      </w:r>
      <w:r>
        <w:rPr>
          <w:rFonts w:ascii="Consolas" w:hAnsi="Consolas" w:eastAsia="Consolas"/>
        </w:rPr>
        <w:t>G3</w:t>
      </w:r>
      <w:r>
        <w:t xml:space="preserve">（期末成绩，范围 0–20）。为保证任务具有学期中预警意义，模型训练中剔除中间成绩 </w:t>
      </w:r>
      <w:r>
        <w:rPr>
          <w:rFonts w:ascii="Consolas" w:hAnsi="Consolas" w:eastAsia="Consolas"/>
        </w:rPr>
        <w:t>G1</w:t>
      </w:r>
      <w:r>
        <w:t xml:space="preserve"> 与 </w:t>
      </w:r>
      <w:r>
        <w:rPr>
          <w:rFonts w:ascii="Consolas" w:hAnsi="Consolas" w:eastAsia="Consolas"/>
        </w:rPr>
        <w:t>G2</w:t>
      </w:r>
      <w:r>
        <w:t xml:space="preserve">，避免后验成绩造成标签泄漏。合并数据时保留课程标识字段 </w:t>
      </w:r>
      <w:r>
        <w:rPr>
          <w:rFonts w:ascii="Consolas" w:hAnsi="Consolas" w:eastAsia="Consolas"/>
        </w:rPr>
        <w:t>subject</w:t>
      </w:r>
      <w:r>
        <w:t>，以刻画不同课程背景下的学习差异。回归任务形式可写为：</w:t>
      </w:r>
    </w:p>
    <w:p>
      <w:pPr>
        <w:spacing w:line="360" w:lineRule="auto" w:after="120"/>
        <w:ind w:firstLine="420"/>
      </w:pPr>
      <w:r>
        <w:t>\[</w:t>
      </w:r>
    </w:p>
    <w:p>
      <w:pPr>
        <w:spacing w:line="360" w:lineRule="auto" w:after="120"/>
        <w:ind w:firstLine="420"/>
      </w:pPr>
      <w:r>
        <w:t>\hat{y}_i = f(x_i),\quad y_i\in[0,20]</w:t>
      </w:r>
    </w:p>
    <w:p>
      <w:pPr>
        <w:spacing w:line="360" w:lineRule="auto" w:after="120"/>
        <w:ind w:firstLine="420"/>
      </w:pPr>
      <w:r>
        <w:t>\]</w:t>
      </w:r>
    </w:p>
    <w:p>
      <w:pPr>
        <w:spacing w:line="360" w:lineRule="auto" w:after="120"/>
        <w:ind w:firstLine="420"/>
      </w:pPr>
      <w:r>
        <w:t>其中，\(x_i\) 表示第 \(i\) 个学生特征向量，\(y_i\) 为真实期末成绩，\(\hat{y}_i\) 为预测值。</w:t>
      </w:r>
    </w:p>
    <w:p>
      <w:r>
        <w:rPr>
          <w:rFonts w:ascii="黑体" w:hAnsi="黑体" w:eastAsia="黑体"/>
          <w:b/>
          <w:sz w:val="26"/>
        </w:rPr>
        <w:t>3.1 数据描述</w:t>
      </w:r>
    </w:p>
    <w:p>
      <w:pPr>
        <w:spacing w:line="360" w:lineRule="auto" w:after="120"/>
        <w:ind w:firstLine="420"/>
      </w:pPr>
      <w:r>
        <w:t>本研究使用的数据来自葡萄牙两所中学的学生学习记录，覆盖数学课程与葡语课程两个子集。合并后的样本量为 1044 条，字段包含学生个体属性、家庭背景、学习投入、学校支持、生活行为与成绩结果等信息。与仅包含结果分数的数据相比，该数据更强调学习过程特征，能够支持“行为—结果”关系建模。</w:t>
      </w:r>
    </w:p>
    <w:p>
      <w:pPr>
        <w:spacing w:line="360" w:lineRule="auto" w:after="120"/>
        <w:ind w:firstLine="420"/>
      </w:pPr>
      <w:r>
        <w:t>从样本结构看，葡语课程样本量高于数学课程，且平均成绩也相对更高，因此在合并建模时保留课程字段是必要的。若直接混合而不区分学科，可能掩盖课程间差异，影响模型解释。</w:t>
      </w:r>
    </w:p>
    <w:p>
      <w:pPr>
        <w:spacing w:line="360" w:lineRule="auto" w:after="120"/>
        <w:ind w:firstLine="420"/>
      </w:pPr>
      <w:r>
        <w:t>**表1-1 按学科划分的数据规模与成绩统计**</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rPr>
              <w:t>学科</w:t>
            </w:r>
          </w:p>
        </w:tc>
        <w:tc>
          <w:tcPr>
            <w:tcW w:type="dxa" w:w="1234"/>
          </w:tcPr>
          <w:p>
            <w:pPr>
              <w:jc w:val="center"/>
            </w:pPr>
            <w:r>
              <w:rPr>
                <w:rFonts w:ascii="宋体" w:hAnsi="宋体" w:eastAsia="宋体"/>
                <w:b/>
              </w:rPr>
              <w:t>样本数</w:t>
            </w:r>
          </w:p>
        </w:tc>
        <w:tc>
          <w:tcPr>
            <w:tcW w:type="dxa" w:w="1234"/>
          </w:tcPr>
          <w:p>
            <w:pPr>
              <w:jc w:val="center"/>
            </w:pPr>
            <w:r>
              <w:rPr>
                <w:rFonts w:ascii="宋体" w:hAnsi="宋体" w:eastAsia="宋体"/>
                <w:b/>
              </w:rPr>
              <w:t>G3均值</w:t>
            </w:r>
          </w:p>
        </w:tc>
        <w:tc>
          <w:tcPr>
            <w:tcW w:type="dxa" w:w="1234"/>
          </w:tcPr>
          <w:p>
            <w:pPr>
              <w:jc w:val="center"/>
            </w:pPr>
            <w:r>
              <w:rPr>
                <w:rFonts w:ascii="宋体" w:hAnsi="宋体" w:eastAsia="宋体"/>
                <w:b/>
              </w:rPr>
              <w:t>G3标准差</w:t>
            </w:r>
          </w:p>
        </w:tc>
        <w:tc>
          <w:tcPr>
            <w:tcW w:type="dxa" w:w="1234"/>
          </w:tcPr>
          <w:p>
            <w:pPr>
              <w:jc w:val="center"/>
            </w:pPr>
            <w:r>
              <w:rPr>
                <w:rFonts w:ascii="宋体" w:hAnsi="宋体" w:eastAsia="宋体"/>
                <w:b/>
              </w:rPr>
              <w:t>G3中位数</w:t>
            </w:r>
          </w:p>
        </w:tc>
        <w:tc>
          <w:tcPr>
            <w:tcW w:type="dxa" w:w="1234"/>
          </w:tcPr>
          <w:p>
            <w:pPr>
              <w:jc w:val="center"/>
            </w:pPr>
            <w:r>
              <w:rPr>
                <w:rFonts w:ascii="宋体" w:hAnsi="宋体" w:eastAsia="宋体"/>
                <w:b/>
              </w:rPr>
              <w:t>最小值</w:t>
            </w:r>
          </w:p>
        </w:tc>
        <w:tc>
          <w:tcPr>
            <w:tcW w:type="dxa" w:w="1234"/>
          </w:tcPr>
          <w:p>
            <w:pPr>
              <w:jc w:val="center"/>
            </w:pPr>
            <w:r>
              <w:rPr>
                <w:rFonts w:ascii="宋体" w:hAnsi="宋体" w:eastAsia="宋体"/>
                <w:b/>
              </w:rPr>
              <w:t>最大值</w:t>
            </w:r>
          </w:p>
        </w:tc>
      </w:tr>
      <w:tr>
        <w:tc>
          <w:tcPr>
            <w:tcW w:type="dxa" w:w="1234"/>
          </w:tcPr>
          <w:p>
            <w:pPr>
              <w:jc w:val="center"/>
            </w:pPr>
            <w:r>
              <w:rPr>
                <w:rFonts w:ascii="宋体" w:hAnsi="宋体" w:eastAsia="宋体"/>
              </w:rPr>
              <w:t>数学（math）</w:t>
            </w:r>
          </w:p>
        </w:tc>
        <w:tc>
          <w:tcPr>
            <w:tcW w:type="dxa" w:w="1234"/>
          </w:tcPr>
          <w:p>
            <w:pPr>
              <w:jc w:val="center"/>
            </w:pPr>
            <w:r>
              <w:rPr>
                <w:rFonts w:ascii="宋体" w:hAnsi="宋体" w:eastAsia="宋体"/>
              </w:rPr>
              <w:t>395</w:t>
            </w:r>
          </w:p>
        </w:tc>
        <w:tc>
          <w:tcPr>
            <w:tcW w:type="dxa" w:w="1234"/>
          </w:tcPr>
          <w:p>
            <w:pPr>
              <w:jc w:val="center"/>
            </w:pPr>
            <w:r>
              <w:rPr>
                <w:rFonts w:ascii="宋体" w:hAnsi="宋体" w:eastAsia="宋体"/>
              </w:rPr>
              <w:t>10.415</w:t>
            </w:r>
          </w:p>
        </w:tc>
        <w:tc>
          <w:tcPr>
            <w:tcW w:type="dxa" w:w="1234"/>
          </w:tcPr>
          <w:p>
            <w:pPr>
              <w:jc w:val="center"/>
            </w:pPr>
            <w:r>
              <w:rPr>
                <w:rFonts w:ascii="宋体" w:hAnsi="宋体" w:eastAsia="宋体"/>
              </w:rPr>
              <w:t>4.581</w:t>
            </w:r>
          </w:p>
        </w:tc>
        <w:tc>
          <w:tcPr>
            <w:tcW w:type="dxa" w:w="1234"/>
          </w:tcPr>
          <w:p>
            <w:pPr>
              <w:jc w:val="center"/>
            </w:pPr>
            <w:r>
              <w:rPr>
                <w:rFonts w:ascii="宋体" w:hAnsi="宋体" w:eastAsia="宋体"/>
              </w:rPr>
              <w:t>11</w:t>
            </w:r>
          </w:p>
        </w:tc>
        <w:tc>
          <w:tcPr>
            <w:tcW w:type="dxa" w:w="1234"/>
          </w:tcPr>
          <w:p>
            <w:pPr>
              <w:jc w:val="center"/>
            </w:pPr>
            <w:r>
              <w:rPr>
                <w:rFonts w:ascii="宋体" w:hAnsi="宋体" w:eastAsia="宋体"/>
              </w:rPr>
              <w:t>0</w:t>
            </w:r>
          </w:p>
        </w:tc>
        <w:tc>
          <w:tcPr>
            <w:tcW w:type="dxa" w:w="1234"/>
          </w:tcPr>
          <w:p>
            <w:pPr>
              <w:jc w:val="center"/>
            </w:pPr>
            <w:r>
              <w:rPr>
                <w:rFonts w:ascii="宋体" w:hAnsi="宋体" w:eastAsia="宋体"/>
              </w:rPr>
              <w:t>20</w:t>
            </w:r>
          </w:p>
        </w:tc>
      </w:tr>
      <w:tr>
        <w:tc>
          <w:tcPr>
            <w:tcW w:type="dxa" w:w="1234"/>
          </w:tcPr>
          <w:p>
            <w:pPr>
              <w:jc w:val="center"/>
            </w:pPr>
            <w:r>
              <w:rPr>
                <w:rFonts w:ascii="宋体" w:hAnsi="宋体" w:eastAsia="宋体"/>
              </w:rPr>
              <w:t>葡语（portuguese）</w:t>
            </w:r>
          </w:p>
        </w:tc>
        <w:tc>
          <w:tcPr>
            <w:tcW w:type="dxa" w:w="1234"/>
          </w:tcPr>
          <w:p>
            <w:pPr>
              <w:jc w:val="center"/>
            </w:pPr>
            <w:r>
              <w:rPr>
                <w:rFonts w:ascii="宋体" w:hAnsi="宋体" w:eastAsia="宋体"/>
              </w:rPr>
              <w:t>649</w:t>
            </w:r>
          </w:p>
        </w:tc>
        <w:tc>
          <w:tcPr>
            <w:tcW w:type="dxa" w:w="1234"/>
          </w:tcPr>
          <w:p>
            <w:pPr>
              <w:jc w:val="center"/>
            </w:pPr>
            <w:r>
              <w:rPr>
                <w:rFonts w:ascii="宋体" w:hAnsi="宋体" w:eastAsia="宋体"/>
              </w:rPr>
              <w:t>11.906</w:t>
            </w:r>
          </w:p>
        </w:tc>
        <w:tc>
          <w:tcPr>
            <w:tcW w:type="dxa" w:w="1234"/>
          </w:tcPr>
          <w:p>
            <w:pPr>
              <w:jc w:val="center"/>
            </w:pPr>
            <w:r>
              <w:rPr>
                <w:rFonts w:ascii="宋体" w:hAnsi="宋体" w:eastAsia="宋体"/>
              </w:rPr>
              <w:t>3.231</w:t>
            </w:r>
          </w:p>
        </w:tc>
        <w:tc>
          <w:tcPr>
            <w:tcW w:type="dxa" w:w="1234"/>
          </w:tcPr>
          <w:p>
            <w:pPr>
              <w:jc w:val="center"/>
            </w:pPr>
            <w:r>
              <w:rPr>
                <w:rFonts w:ascii="宋体" w:hAnsi="宋体" w:eastAsia="宋体"/>
              </w:rPr>
              <w:t>12</w:t>
            </w:r>
          </w:p>
        </w:tc>
        <w:tc>
          <w:tcPr>
            <w:tcW w:type="dxa" w:w="1234"/>
          </w:tcPr>
          <w:p>
            <w:pPr>
              <w:jc w:val="center"/>
            </w:pPr>
            <w:r>
              <w:rPr>
                <w:rFonts w:ascii="宋体" w:hAnsi="宋体" w:eastAsia="宋体"/>
              </w:rPr>
              <w:t>0</w:t>
            </w:r>
          </w:p>
        </w:tc>
        <w:tc>
          <w:tcPr>
            <w:tcW w:type="dxa" w:w="1234"/>
          </w:tcPr>
          <w:p>
            <w:pPr>
              <w:jc w:val="center"/>
            </w:pPr>
            <w:r>
              <w:rPr>
                <w:rFonts w:ascii="宋体" w:hAnsi="宋体" w:eastAsia="宋体"/>
              </w:rPr>
              <w:t>19</w:t>
            </w:r>
          </w:p>
        </w:tc>
      </w:tr>
    </w:tbl>
    <w:p>
      <w:pPr>
        <w:spacing w:line="360" w:lineRule="auto" w:after="120"/>
        <w:ind w:firstLine="420"/>
      </w:pPr>
      <w:r>
        <w:t>类别变量方面，样本中的升学意愿与网络可达性整体较高，校内额外学习支持覆盖相对有限。这些变量在后续重要性分析中也会体现出明显作用，说明其不仅是背景信息，也可能与学习结果变化密切相关。</w:t>
      </w:r>
    </w:p>
    <w:p>
      <w:pPr>
        <w:spacing w:line="360" w:lineRule="auto" w:after="120"/>
        <w:ind w:firstLine="420"/>
      </w:pPr>
      <w:r>
        <w:t>**表1-2 关键类别变量分布（%）**</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宋体" w:hAnsi="宋体" w:eastAsia="宋体"/>
                <w:b/>
              </w:rPr>
              <w:t>变量</w:t>
            </w:r>
          </w:p>
        </w:tc>
        <w:tc>
          <w:tcPr>
            <w:tcW w:type="dxa" w:w="4320"/>
          </w:tcPr>
          <w:p>
            <w:pPr>
              <w:jc w:val="center"/>
            </w:pPr>
            <w:r>
              <w:rPr>
                <w:rFonts w:ascii="宋体" w:hAnsi="宋体" w:eastAsia="宋体"/>
                <w:b/>
              </w:rPr>
              <w:t>主要分布</w:t>
            </w:r>
          </w:p>
        </w:tc>
      </w:tr>
      <w:tr>
        <w:tc>
          <w:tcPr>
            <w:tcW w:type="dxa" w:w="4320"/>
          </w:tcPr>
          <w:p>
            <w:pPr>
              <w:jc w:val="center"/>
            </w:pPr>
            <w:r>
              <w:rPr>
                <w:rFonts w:ascii="宋体" w:hAnsi="宋体" w:eastAsia="宋体"/>
              </w:rPr>
              <w:t>sex</w:t>
            </w:r>
          </w:p>
        </w:tc>
        <w:tc>
          <w:tcPr>
            <w:tcW w:type="dxa" w:w="4320"/>
          </w:tcPr>
          <w:p>
            <w:pPr>
              <w:jc w:val="center"/>
            </w:pPr>
            <w:r>
              <w:rPr>
                <w:rFonts w:ascii="宋体" w:hAnsi="宋体" w:eastAsia="宋体"/>
              </w:rPr>
              <w:t>F: 56.61, M: 43.39</w:t>
            </w:r>
          </w:p>
        </w:tc>
      </w:tr>
      <w:tr>
        <w:tc>
          <w:tcPr>
            <w:tcW w:type="dxa" w:w="4320"/>
          </w:tcPr>
          <w:p>
            <w:pPr>
              <w:jc w:val="center"/>
            </w:pPr>
            <w:r>
              <w:rPr>
                <w:rFonts w:ascii="宋体" w:hAnsi="宋体" w:eastAsia="宋体"/>
              </w:rPr>
              <w:t>address</w:t>
            </w:r>
          </w:p>
        </w:tc>
        <w:tc>
          <w:tcPr>
            <w:tcW w:type="dxa" w:w="4320"/>
          </w:tcPr>
          <w:p>
            <w:pPr>
              <w:jc w:val="center"/>
            </w:pPr>
            <w:r>
              <w:rPr>
                <w:rFonts w:ascii="宋体" w:hAnsi="宋体" w:eastAsia="宋体"/>
              </w:rPr>
              <w:t>U: 72.70, R: 27.30</w:t>
            </w:r>
          </w:p>
        </w:tc>
      </w:tr>
      <w:tr>
        <w:tc>
          <w:tcPr>
            <w:tcW w:type="dxa" w:w="4320"/>
          </w:tcPr>
          <w:p>
            <w:pPr>
              <w:jc w:val="center"/>
            </w:pPr>
            <w:r>
              <w:rPr>
                <w:rFonts w:ascii="宋体" w:hAnsi="宋体" w:eastAsia="宋体"/>
              </w:rPr>
              <w:t>schoolsup</w:t>
            </w:r>
          </w:p>
        </w:tc>
        <w:tc>
          <w:tcPr>
            <w:tcW w:type="dxa" w:w="4320"/>
          </w:tcPr>
          <w:p>
            <w:pPr>
              <w:jc w:val="center"/>
            </w:pPr>
            <w:r>
              <w:rPr>
                <w:rFonts w:ascii="宋体" w:hAnsi="宋体" w:eastAsia="宋体"/>
              </w:rPr>
              <w:t>no: 88.60, yes: 11.40</w:t>
            </w:r>
          </w:p>
        </w:tc>
      </w:tr>
      <w:tr>
        <w:tc>
          <w:tcPr>
            <w:tcW w:type="dxa" w:w="4320"/>
          </w:tcPr>
          <w:p>
            <w:pPr>
              <w:jc w:val="center"/>
            </w:pPr>
            <w:r>
              <w:rPr>
                <w:rFonts w:ascii="宋体" w:hAnsi="宋体" w:eastAsia="宋体"/>
              </w:rPr>
              <w:t>famsup</w:t>
            </w:r>
          </w:p>
        </w:tc>
        <w:tc>
          <w:tcPr>
            <w:tcW w:type="dxa" w:w="4320"/>
          </w:tcPr>
          <w:p>
            <w:pPr>
              <w:jc w:val="center"/>
            </w:pPr>
            <w:r>
              <w:rPr>
                <w:rFonts w:ascii="宋体" w:hAnsi="宋体" w:eastAsia="宋体"/>
              </w:rPr>
              <w:t>yes: 61.30, no: 38.70</w:t>
            </w:r>
          </w:p>
        </w:tc>
      </w:tr>
      <w:tr>
        <w:tc>
          <w:tcPr>
            <w:tcW w:type="dxa" w:w="4320"/>
          </w:tcPr>
          <w:p>
            <w:pPr>
              <w:jc w:val="center"/>
            </w:pPr>
            <w:r>
              <w:rPr>
                <w:rFonts w:ascii="宋体" w:hAnsi="宋体" w:eastAsia="宋体"/>
              </w:rPr>
              <w:t>internet</w:t>
            </w:r>
          </w:p>
        </w:tc>
        <w:tc>
          <w:tcPr>
            <w:tcW w:type="dxa" w:w="4320"/>
          </w:tcPr>
          <w:p>
            <w:pPr>
              <w:jc w:val="center"/>
            </w:pPr>
            <w:r>
              <w:rPr>
                <w:rFonts w:ascii="宋体" w:hAnsi="宋体" w:eastAsia="宋体"/>
              </w:rPr>
              <w:t>yes: 79.21, no: 20.79</w:t>
            </w:r>
          </w:p>
        </w:tc>
      </w:tr>
      <w:tr>
        <w:tc>
          <w:tcPr>
            <w:tcW w:type="dxa" w:w="4320"/>
          </w:tcPr>
          <w:p>
            <w:pPr>
              <w:jc w:val="center"/>
            </w:pPr>
            <w:r>
              <w:rPr>
                <w:rFonts w:ascii="宋体" w:hAnsi="宋体" w:eastAsia="宋体"/>
              </w:rPr>
              <w:t>higher</w:t>
            </w:r>
          </w:p>
        </w:tc>
        <w:tc>
          <w:tcPr>
            <w:tcW w:type="dxa" w:w="4320"/>
          </w:tcPr>
          <w:p>
            <w:pPr>
              <w:jc w:val="center"/>
            </w:pPr>
            <w:r>
              <w:rPr>
                <w:rFonts w:ascii="宋体" w:hAnsi="宋体" w:eastAsia="宋体"/>
              </w:rPr>
              <w:t>yes: 91.48, no: 8.52</w:t>
            </w:r>
          </w:p>
        </w:tc>
      </w:tr>
      <w:tr>
        <w:tc>
          <w:tcPr>
            <w:tcW w:type="dxa" w:w="4320"/>
          </w:tcPr>
          <w:p>
            <w:pPr>
              <w:jc w:val="center"/>
            </w:pPr>
            <w:r>
              <w:rPr>
                <w:rFonts w:ascii="宋体" w:hAnsi="宋体" w:eastAsia="宋体"/>
              </w:rPr>
              <w:t>romantic</w:t>
            </w:r>
          </w:p>
        </w:tc>
        <w:tc>
          <w:tcPr>
            <w:tcW w:type="dxa" w:w="4320"/>
          </w:tcPr>
          <w:p>
            <w:pPr>
              <w:jc w:val="center"/>
            </w:pPr>
            <w:r>
              <w:rPr>
                <w:rFonts w:ascii="宋体" w:hAnsi="宋体" w:eastAsia="宋体"/>
              </w:rPr>
              <w:t>no: 64.46, yes: 35.54</w:t>
            </w:r>
          </w:p>
        </w:tc>
      </w:tr>
    </w:tbl>
    <w:p>
      <w:pPr>
        <w:spacing w:line="360" w:lineRule="auto" w:after="120"/>
        <w:ind w:firstLine="420"/>
      </w:pPr>
      <w:r>
        <w:t>从数值分布看，样本成绩总体集中在中间区间，呈“中段密集、两端稀疏”的特征；缺勤变量表现出长尾，少数学生缺勤远高于总体；历史挂科变量呈“多数为零、少数偏高”的不均衡结构。这样的分布意味着模型在主流样本上更容易稳定拟合，而在极端样本上更可能出现较大误差。</w:t>
      </w:r>
    </w:p>
    <w:p>
      <w:r>
        <w:rPr>
          <w:rFonts w:ascii="黑体" w:hAnsi="黑体" w:eastAsia="黑体"/>
          <w:b/>
          <w:sz w:val="26"/>
        </w:rPr>
        <w:t>3.2 数据预处理细节</w:t>
      </w:r>
    </w:p>
    <w:p>
      <w:pPr>
        <w:spacing w:line="360" w:lineRule="auto" w:after="120"/>
        <w:ind w:firstLine="420"/>
      </w:pPr>
      <w:r>
        <w:t xml:space="preserve">为了保证模型训练结果具有可比性与可复现性，本文在建模前对数据进行了统一预处理。首先在数据合并阶段进行字段对齐，并新增课程标识字段 </w:t>
      </w:r>
      <w:r>
        <w:rPr>
          <w:rFonts w:ascii="Consolas" w:hAnsi="Consolas" w:eastAsia="Consolas"/>
        </w:rPr>
        <w:t>subject</w:t>
      </w:r>
      <w:r>
        <w:t xml:space="preserve">。随后完成任务相关性筛选，保留与学生背景、学习行为和支持条件相关的输入变量，将 </w:t>
      </w:r>
      <w:r>
        <w:rPr>
          <w:rFonts w:ascii="Consolas" w:hAnsi="Consolas" w:eastAsia="Consolas"/>
        </w:rPr>
        <w:t>G3</w:t>
      </w:r>
      <w:r>
        <w:t xml:space="preserve"> 设为唯一预测目标。</w:t>
      </w:r>
    </w:p>
    <w:p>
      <w:pPr>
        <w:spacing w:line="360" w:lineRule="auto" w:after="120"/>
        <w:ind w:firstLine="420"/>
      </w:pPr>
      <w:r>
        <w:t xml:space="preserve">预处理中最关键的步骤是标签泄漏控制。由于 </w:t>
      </w:r>
      <w:r>
        <w:rPr>
          <w:rFonts w:ascii="Consolas" w:hAnsi="Consolas" w:eastAsia="Consolas"/>
        </w:rPr>
        <w:t>G1</w:t>
      </w:r>
      <w:r>
        <w:t xml:space="preserve"> 与 </w:t>
      </w:r>
      <w:r>
        <w:rPr>
          <w:rFonts w:ascii="Consolas" w:hAnsi="Consolas" w:eastAsia="Consolas"/>
        </w:rPr>
        <w:t>G2</w:t>
      </w:r>
      <w:r>
        <w:t xml:space="preserve"> 属于同学期中间成绩，若直接纳入输入会抬高预测精度，但这种精度不代表真实预警能力。因此本文在训练前明确剔除 </w:t>
      </w:r>
      <w:r>
        <w:rPr>
          <w:rFonts w:ascii="Consolas" w:hAnsi="Consolas" w:eastAsia="Consolas"/>
        </w:rPr>
        <w:t>G1</w:t>
      </w:r>
      <w:r>
        <w:t xml:space="preserve"> 与 </w:t>
      </w:r>
      <w:r>
        <w:rPr>
          <w:rFonts w:ascii="Consolas" w:hAnsi="Consolas" w:eastAsia="Consolas"/>
        </w:rPr>
        <w:t>G2</w:t>
      </w:r>
      <w:r>
        <w:t>，使模型仅依赖结果产生前可观测信息。</w:t>
      </w:r>
    </w:p>
    <w:p>
      <w:pPr>
        <w:spacing w:line="360" w:lineRule="auto" w:after="120"/>
        <w:ind w:firstLine="420"/>
      </w:pPr>
      <w:r>
        <w:t>编码策略方面，类别变量采用 One-Hot 编码，数值变量保留原始尺度输入。该策略可避免人为顺序假设引入偏差，并保持变量可解释性。数据划分采用固定随机种子并使用“10 折交叉验证 + 独立测试集”双重评估框架，以降低单次划分偶然性并保证模型比较公平性。</w:t>
      </w:r>
    </w:p>
    <w:p>
      <w:r>
        <w:rPr>
          <w:rFonts w:ascii="黑体" w:hAnsi="黑体" w:eastAsia="黑体"/>
          <w:b/>
          <w:sz w:val="30"/>
        </w:rPr>
        <w:t>4 方法与实验设计</w:t>
      </w:r>
    </w:p>
    <w:p>
      <w:pPr>
        <w:spacing w:line="360" w:lineRule="auto" w:after="120"/>
        <w:ind w:firstLine="420"/>
      </w:pPr>
      <w:r>
        <w:t>本文采用统一的管线化建模流程。首先进行数据读取、字段筛选与泄漏控制，再对类别变量进行 One-Hot 编码，数值变量保持原尺度输入模型。实验比较 Ridge、Random Forest、Extra Trees 与 XGBoost 四类回归模型。之所以选择这一组合，是因为它们分别代表了线性基线、Bagging 集成与 Boosting 集成三类典型建模思路，能够较完整地反映教育结构化数据中的方法差异。</w:t>
      </w:r>
    </w:p>
    <w:p>
      <w:pPr>
        <w:spacing w:line="360" w:lineRule="auto" w:after="120"/>
        <w:ind w:firstLine="420"/>
      </w:pPr>
      <w:r>
        <w:t>评估方面采用双层设计。第一层是 10 折交叉验证，用于比较模型平均性能与稳定性；第二层是 80/20 独立测试集评估，用于检验未见样本上的真实泛化能力。评价指标使用 RMSE、MAE 与 R²：</w:t>
      </w:r>
    </w:p>
    <w:p>
      <w:pPr>
        <w:spacing w:line="360" w:lineRule="auto" w:after="120"/>
        <w:ind w:firstLine="420"/>
      </w:pPr>
      <w:r>
        <w:t>\[</w:t>
      </w:r>
    </w:p>
    <w:p>
      <w:pPr>
        <w:spacing w:line="360" w:lineRule="auto" w:after="120"/>
        <w:ind w:firstLine="420"/>
      </w:pPr>
      <w:r>
        <w:t>\text{RMSE} = \sqrt{\frac{1}{n}\sum_{i=1}^{n}(y_i-\hat{y}_i)^2}</w:t>
      </w:r>
    </w:p>
    <w:p>
      <w:pPr>
        <w:spacing w:line="360" w:lineRule="auto" w:after="120"/>
        <w:ind w:firstLine="420"/>
      </w:pPr>
      <w:r>
        <w:t>\]</w:t>
      </w:r>
    </w:p>
    <w:p>
      <w:pPr>
        <w:spacing w:line="360" w:lineRule="auto" w:after="120"/>
        <w:ind w:firstLine="420"/>
      </w:pPr>
      <w:r>
        <w:t>\[</w:t>
      </w:r>
    </w:p>
    <w:p>
      <w:pPr>
        <w:spacing w:line="360" w:lineRule="auto" w:after="120"/>
        <w:ind w:firstLine="420"/>
      </w:pPr>
      <w:r>
        <w:t>\text{MAE} = \frac{1}{n}\sum_{i=1}^{n}|y_i-\hat{y}_i|</w:t>
      </w:r>
    </w:p>
    <w:p>
      <w:pPr>
        <w:spacing w:line="360" w:lineRule="auto" w:after="120"/>
        <w:ind w:firstLine="420"/>
      </w:pPr>
      <w:r>
        <w:t>\]</w:t>
      </w:r>
    </w:p>
    <w:p>
      <w:pPr>
        <w:spacing w:line="360" w:lineRule="auto" w:after="120"/>
        <w:ind w:firstLine="420"/>
      </w:pPr>
      <w:r>
        <w:t>\[</w:t>
      </w:r>
    </w:p>
    <w:p>
      <w:pPr>
        <w:spacing w:line="360" w:lineRule="auto" w:after="120"/>
        <w:ind w:firstLine="420"/>
      </w:pPr>
      <w:r>
        <w:t>R^2 = 1-\frac{\sum_{i=1}^{n}(y_i-\hat{y}_i)^2}{\sum_{i=1}^{n}(y_i-\bar{y})^2}</w:t>
      </w:r>
    </w:p>
    <w:p>
      <w:pPr>
        <w:spacing w:line="360" w:lineRule="auto" w:after="120"/>
        <w:ind w:firstLine="420"/>
      </w:pPr>
      <w:r>
        <w:t>\]</w:t>
      </w:r>
    </w:p>
    <w:p>
      <w:pPr>
        <w:spacing w:line="360" w:lineRule="auto" w:after="120"/>
        <w:ind w:firstLine="420"/>
      </w:pPr>
      <w:r>
        <w:t>这样的设计可以避免只在交叉验证中“好看”的结果，提高结论可信度。</w:t>
      </w:r>
    </w:p>
    <w:p>
      <w:r>
        <w:rPr>
          <w:rFonts w:ascii="黑体" w:hAnsi="黑体" w:eastAsia="黑体"/>
          <w:b/>
          <w:sz w:val="30"/>
        </w:rPr>
        <w:t>5 实验结果与分析</w:t>
      </w:r>
    </w:p>
    <w:p>
      <w:pPr>
        <w:spacing w:line="360" w:lineRule="auto" w:after="120"/>
        <w:ind w:firstLine="420"/>
      </w:pPr>
      <w:r>
        <w:t>从总体统计看，样本成绩均值约 11.342，处于中等偏上区间；缺勤分布右偏明显，极端样本较多；历史挂科变量呈现“多数较低、少数偏高”的不平衡结构。这些特征意味着模型在主流样本上更容易拟合，而在极端学习行为样本上更容易出现较大误差。</w:t>
      </w:r>
    </w:p>
    <w:p>
      <w:pPr>
        <w:spacing w:line="360" w:lineRule="auto" w:after="120"/>
        <w:ind w:firstLine="420"/>
      </w:pPr>
      <w:r>
        <w:t>**表2-1 关键变量描述统计（N=1044）**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rPr>
              <w:t>指标</w:t>
            </w:r>
          </w:p>
        </w:tc>
        <w:tc>
          <w:tcPr>
            <w:tcW w:type="dxa" w:w="1234"/>
          </w:tcPr>
          <w:p>
            <w:pPr>
              <w:jc w:val="center"/>
            </w:pPr>
            <w:r>
              <w:rPr>
                <w:rFonts w:ascii="宋体" w:hAnsi="宋体" w:eastAsia="宋体"/>
                <w:b/>
              </w:rPr>
              <w:t>G3</w:t>
            </w:r>
          </w:p>
        </w:tc>
        <w:tc>
          <w:tcPr>
            <w:tcW w:type="dxa" w:w="1234"/>
          </w:tcPr>
          <w:p>
            <w:pPr>
              <w:jc w:val="center"/>
            </w:pPr>
            <w:r>
              <w:rPr>
                <w:rFonts w:ascii="宋体" w:hAnsi="宋体" w:eastAsia="宋体"/>
                <w:b/>
              </w:rPr>
              <w:t>studytime</w:t>
            </w:r>
          </w:p>
        </w:tc>
        <w:tc>
          <w:tcPr>
            <w:tcW w:type="dxa" w:w="1234"/>
          </w:tcPr>
          <w:p>
            <w:pPr>
              <w:jc w:val="center"/>
            </w:pPr>
            <w:r>
              <w:rPr>
                <w:rFonts w:ascii="宋体" w:hAnsi="宋体" w:eastAsia="宋体"/>
                <w:b/>
              </w:rPr>
              <w:t>failures</w:t>
            </w:r>
          </w:p>
        </w:tc>
        <w:tc>
          <w:tcPr>
            <w:tcW w:type="dxa" w:w="1234"/>
          </w:tcPr>
          <w:p>
            <w:pPr>
              <w:jc w:val="center"/>
            </w:pPr>
            <w:r>
              <w:rPr>
                <w:rFonts w:ascii="宋体" w:hAnsi="宋体" w:eastAsia="宋体"/>
                <w:b/>
              </w:rPr>
              <w:t>absences</w:t>
            </w:r>
          </w:p>
        </w:tc>
        <w:tc>
          <w:tcPr>
            <w:tcW w:type="dxa" w:w="1234"/>
          </w:tcPr>
          <w:p>
            <w:pPr>
              <w:jc w:val="center"/>
            </w:pPr>
            <w:r>
              <w:rPr>
                <w:rFonts w:ascii="宋体" w:hAnsi="宋体" w:eastAsia="宋体"/>
                <w:b/>
              </w:rPr>
              <w:t>Medu</w:t>
            </w:r>
          </w:p>
        </w:tc>
        <w:tc>
          <w:tcPr>
            <w:tcW w:type="dxa" w:w="1234"/>
          </w:tcPr>
          <w:p>
            <w:pPr>
              <w:jc w:val="center"/>
            </w:pPr>
            <w:r>
              <w:rPr>
                <w:rFonts w:ascii="宋体" w:hAnsi="宋体" w:eastAsia="宋体"/>
                <w:b/>
              </w:rPr>
              <w:t>Fedu</w:t>
            </w:r>
          </w:p>
        </w:tc>
      </w:tr>
      <w:tr>
        <w:tc>
          <w:tcPr>
            <w:tcW w:type="dxa" w:w="1234"/>
          </w:tcPr>
          <w:p>
            <w:pPr>
              <w:jc w:val="center"/>
            </w:pPr>
            <w:r>
              <w:rPr>
                <w:rFonts w:ascii="宋体" w:hAnsi="宋体" w:eastAsia="宋体"/>
              </w:rPr>
              <w:t>样本数</w:t>
            </w:r>
          </w:p>
        </w:tc>
        <w:tc>
          <w:tcPr>
            <w:tcW w:type="dxa" w:w="1234"/>
          </w:tcPr>
          <w:p>
            <w:pPr>
              <w:jc w:val="center"/>
            </w:pPr>
            <w:r>
              <w:rPr>
                <w:rFonts w:ascii="宋体" w:hAnsi="宋体" w:eastAsia="宋体"/>
              </w:rPr>
              <w:t>1044</w:t>
            </w:r>
          </w:p>
        </w:tc>
        <w:tc>
          <w:tcPr>
            <w:tcW w:type="dxa" w:w="1234"/>
          </w:tcPr>
          <w:p>
            <w:pPr>
              <w:jc w:val="center"/>
            </w:pPr>
            <w:r>
              <w:rPr>
                <w:rFonts w:ascii="宋体" w:hAnsi="宋体" w:eastAsia="宋体"/>
              </w:rPr>
              <w:t>1044</w:t>
            </w:r>
          </w:p>
        </w:tc>
        <w:tc>
          <w:tcPr>
            <w:tcW w:type="dxa" w:w="1234"/>
          </w:tcPr>
          <w:p>
            <w:pPr>
              <w:jc w:val="center"/>
            </w:pPr>
            <w:r>
              <w:rPr>
                <w:rFonts w:ascii="宋体" w:hAnsi="宋体" w:eastAsia="宋体"/>
              </w:rPr>
              <w:t>1044</w:t>
            </w:r>
          </w:p>
        </w:tc>
        <w:tc>
          <w:tcPr>
            <w:tcW w:type="dxa" w:w="1234"/>
          </w:tcPr>
          <w:p>
            <w:pPr>
              <w:jc w:val="center"/>
            </w:pPr>
            <w:r>
              <w:rPr>
                <w:rFonts w:ascii="宋体" w:hAnsi="宋体" w:eastAsia="宋体"/>
              </w:rPr>
              <w:t>1044</w:t>
            </w:r>
          </w:p>
        </w:tc>
        <w:tc>
          <w:tcPr>
            <w:tcW w:type="dxa" w:w="1234"/>
          </w:tcPr>
          <w:p>
            <w:pPr>
              <w:jc w:val="center"/>
            </w:pPr>
            <w:r>
              <w:rPr>
                <w:rFonts w:ascii="宋体" w:hAnsi="宋体" w:eastAsia="宋体"/>
              </w:rPr>
              <w:t>1044</w:t>
            </w:r>
          </w:p>
        </w:tc>
        <w:tc>
          <w:tcPr>
            <w:tcW w:type="dxa" w:w="1234"/>
          </w:tcPr>
          <w:p>
            <w:pPr>
              <w:jc w:val="center"/>
            </w:pPr>
            <w:r>
              <w:rPr>
                <w:rFonts w:ascii="宋体" w:hAnsi="宋体" w:eastAsia="宋体"/>
              </w:rPr>
              <w:t>1044</w:t>
            </w:r>
          </w:p>
        </w:tc>
      </w:tr>
      <w:tr>
        <w:tc>
          <w:tcPr>
            <w:tcW w:type="dxa" w:w="1234"/>
          </w:tcPr>
          <w:p>
            <w:pPr>
              <w:jc w:val="center"/>
            </w:pPr>
            <w:r>
              <w:rPr>
                <w:rFonts w:ascii="宋体" w:hAnsi="宋体" w:eastAsia="宋体"/>
              </w:rPr>
              <w:t>均值</w:t>
            </w:r>
          </w:p>
        </w:tc>
        <w:tc>
          <w:tcPr>
            <w:tcW w:type="dxa" w:w="1234"/>
          </w:tcPr>
          <w:p>
            <w:pPr>
              <w:jc w:val="center"/>
            </w:pPr>
            <w:r>
              <w:rPr>
                <w:rFonts w:ascii="宋体" w:hAnsi="宋体" w:eastAsia="宋体"/>
              </w:rPr>
              <w:t>11.342</w:t>
            </w:r>
          </w:p>
        </w:tc>
        <w:tc>
          <w:tcPr>
            <w:tcW w:type="dxa" w:w="1234"/>
          </w:tcPr>
          <w:p>
            <w:pPr>
              <w:jc w:val="center"/>
            </w:pPr>
            <w:r>
              <w:rPr>
                <w:rFonts w:ascii="宋体" w:hAnsi="宋体" w:eastAsia="宋体"/>
              </w:rPr>
              <w:t>1.970</w:t>
            </w:r>
          </w:p>
        </w:tc>
        <w:tc>
          <w:tcPr>
            <w:tcW w:type="dxa" w:w="1234"/>
          </w:tcPr>
          <w:p>
            <w:pPr>
              <w:jc w:val="center"/>
            </w:pPr>
            <w:r>
              <w:rPr>
                <w:rFonts w:ascii="宋体" w:hAnsi="宋体" w:eastAsia="宋体"/>
              </w:rPr>
              <w:t>0.264</w:t>
            </w:r>
          </w:p>
        </w:tc>
        <w:tc>
          <w:tcPr>
            <w:tcW w:type="dxa" w:w="1234"/>
          </w:tcPr>
          <w:p>
            <w:pPr>
              <w:jc w:val="center"/>
            </w:pPr>
            <w:r>
              <w:rPr>
                <w:rFonts w:ascii="宋体" w:hAnsi="宋体" w:eastAsia="宋体"/>
              </w:rPr>
              <w:t>4.435</w:t>
            </w:r>
          </w:p>
        </w:tc>
        <w:tc>
          <w:tcPr>
            <w:tcW w:type="dxa" w:w="1234"/>
          </w:tcPr>
          <w:p>
            <w:pPr>
              <w:jc w:val="center"/>
            </w:pPr>
            <w:r>
              <w:rPr>
                <w:rFonts w:ascii="宋体" w:hAnsi="宋体" w:eastAsia="宋体"/>
              </w:rPr>
              <w:t>2.603</w:t>
            </w:r>
          </w:p>
        </w:tc>
        <w:tc>
          <w:tcPr>
            <w:tcW w:type="dxa" w:w="1234"/>
          </w:tcPr>
          <w:p>
            <w:pPr>
              <w:jc w:val="center"/>
            </w:pPr>
            <w:r>
              <w:rPr>
                <w:rFonts w:ascii="宋体" w:hAnsi="宋体" w:eastAsia="宋体"/>
              </w:rPr>
              <w:t>2.388</w:t>
            </w:r>
          </w:p>
        </w:tc>
      </w:tr>
      <w:tr>
        <w:tc>
          <w:tcPr>
            <w:tcW w:type="dxa" w:w="1234"/>
          </w:tcPr>
          <w:p>
            <w:pPr>
              <w:jc w:val="center"/>
            </w:pPr>
            <w:r>
              <w:rPr>
                <w:rFonts w:ascii="宋体" w:hAnsi="宋体" w:eastAsia="宋体"/>
              </w:rPr>
              <w:t>标准差</w:t>
            </w:r>
          </w:p>
        </w:tc>
        <w:tc>
          <w:tcPr>
            <w:tcW w:type="dxa" w:w="1234"/>
          </w:tcPr>
          <w:p>
            <w:pPr>
              <w:jc w:val="center"/>
            </w:pPr>
            <w:r>
              <w:rPr>
                <w:rFonts w:ascii="宋体" w:hAnsi="宋体" w:eastAsia="宋体"/>
              </w:rPr>
              <w:t>3.865</w:t>
            </w:r>
          </w:p>
        </w:tc>
        <w:tc>
          <w:tcPr>
            <w:tcW w:type="dxa" w:w="1234"/>
          </w:tcPr>
          <w:p>
            <w:pPr>
              <w:jc w:val="center"/>
            </w:pPr>
            <w:r>
              <w:rPr>
                <w:rFonts w:ascii="宋体" w:hAnsi="宋体" w:eastAsia="宋体"/>
              </w:rPr>
              <w:t>0.834</w:t>
            </w:r>
          </w:p>
        </w:tc>
        <w:tc>
          <w:tcPr>
            <w:tcW w:type="dxa" w:w="1234"/>
          </w:tcPr>
          <w:p>
            <w:pPr>
              <w:jc w:val="center"/>
            </w:pPr>
            <w:r>
              <w:rPr>
                <w:rFonts w:ascii="宋体" w:hAnsi="宋体" w:eastAsia="宋体"/>
              </w:rPr>
              <w:t>0.656</w:t>
            </w:r>
          </w:p>
        </w:tc>
        <w:tc>
          <w:tcPr>
            <w:tcW w:type="dxa" w:w="1234"/>
          </w:tcPr>
          <w:p>
            <w:pPr>
              <w:jc w:val="center"/>
            </w:pPr>
            <w:r>
              <w:rPr>
                <w:rFonts w:ascii="宋体" w:hAnsi="宋体" w:eastAsia="宋体"/>
              </w:rPr>
              <w:t>6.210</w:t>
            </w:r>
          </w:p>
        </w:tc>
        <w:tc>
          <w:tcPr>
            <w:tcW w:type="dxa" w:w="1234"/>
          </w:tcPr>
          <w:p>
            <w:pPr>
              <w:jc w:val="center"/>
            </w:pPr>
            <w:r>
              <w:rPr>
                <w:rFonts w:ascii="宋体" w:hAnsi="宋体" w:eastAsia="宋体"/>
              </w:rPr>
              <w:t>1.125</w:t>
            </w:r>
          </w:p>
        </w:tc>
        <w:tc>
          <w:tcPr>
            <w:tcW w:type="dxa" w:w="1234"/>
          </w:tcPr>
          <w:p>
            <w:pPr>
              <w:jc w:val="center"/>
            </w:pPr>
            <w:r>
              <w:rPr>
                <w:rFonts w:ascii="宋体" w:hAnsi="宋体" w:eastAsia="宋体"/>
              </w:rPr>
              <w:t>1.100</w:t>
            </w:r>
          </w:p>
        </w:tc>
      </w:tr>
      <w:tr>
        <w:tc>
          <w:tcPr>
            <w:tcW w:type="dxa" w:w="1234"/>
          </w:tcPr>
          <w:p>
            <w:pPr>
              <w:jc w:val="center"/>
            </w:pPr>
            <w:r>
              <w:rPr>
                <w:rFonts w:ascii="宋体" w:hAnsi="宋体" w:eastAsia="宋体"/>
              </w:rPr>
              <w:t>最小值</w:t>
            </w:r>
          </w:p>
        </w:tc>
        <w:tc>
          <w:tcPr>
            <w:tcW w:type="dxa" w:w="1234"/>
          </w:tcPr>
          <w:p>
            <w:pPr>
              <w:jc w:val="center"/>
            </w:pPr>
            <w:r>
              <w:rPr>
                <w:rFonts w:ascii="宋体" w:hAnsi="宋体" w:eastAsia="宋体"/>
              </w:rPr>
              <w:t>0</w:t>
            </w:r>
          </w:p>
        </w:tc>
        <w:tc>
          <w:tcPr>
            <w:tcW w:type="dxa" w:w="1234"/>
          </w:tcPr>
          <w:p>
            <w:pPr>
              <w:jc w:val="center"/>
            </w:pPr>
            <w:r>
              <w:rPr>
                <w:rFonts w:ascii="宋体" w:hAnsi="宋体" w:eastAsia="宋体"/>
              </w:rPr>
              <w:t>1</w:t>
            </w:r>
          </w:p>
        </w:tc>
        <w:tc>
          <w:tcPr>
            <w:tcW w:type="dxa" w:w="1234"/>
          </w:tcPr>
          <w:p>
            <w:pPr>
              <w:jc w:val="center"/>
            </w:pPr>
            <w:r>
              <w:rPr>
                <w:rFonts w:ascii="宋体" w:hAnsi="宋体" w:eastAsia="宋体"/>
              </w:rPr>
              <w:t>0</w:t>
            </w:r>
          </w:p>
        </w:tc>
        <w:tc>
          <w:tcPr>
            <w:tcW w:type="dxa" w:w="1234"/>
          </w:tcPr>
          <w:p>
            <w:pPr>
              <w:jc w:val="center"/>
            </w:pPr>
            <w:r>
              <w:rPr>
                <w:rFonts w:ascii="宋体" w:hAnsi="宋体" w:eastAsia="宋体"/>
              </w:rPr>
              <w:t>0</w:t>
            </w:r>
          </w:p>
        </w:tc>
        <w:tc>
          <w:tcPr>
            <w:tcW w:type="dxa" w:w="1234"/>
          </w:tcPr>
          <w:p>
            <w:pPr>
              <w:jc w:val="center"/>
            </w:pPr>
            <w:r>
              <w:rPr>
                <w:rFonts w:ascii="宋体" w:hAnsi="宋体" w:eastAsia="宋体"/>
              </w:rPr>
              <w:t>0</w:t>
            </w:r>
          </w:p>
        </w:tc>
        <w:tc>
          <w:tcPr>
            <w:tcW w:type="dxa" w:w="1234"/>
          </w:tcPr>
          <w:p>
            <w:pPr>
              <w:jc w:val="center"/>
            </w:pPr>
            <w:r>
              <w:rPr>
                <w:rFonts w:ascii="宋体" w:hAnsi="宋体" w:eastAsia="宋体"/>
              </w:rPr>
              <w:t>0</w:t>
            </w:r>
          </w:p>
        </w:tc>
      </w:tr>
      <w:tr>
        <w:tc>
          <w:tcPr>
            <w:tcW w:type="dxa" w:w="1234"/>
          </w:tcPr>
          <w:p>
            <w:pPr>
              <w:jc w:val="center"/>
            </w:pPr>
            <w:r>
              <w:rPr>
                <w:rFonts w:ascii="宋体" w:hAnsi="宋体" w:eastAsia="宋体"/>
              </w:rPr>
              <w:t>中位数</w:t>
            </w:r>
          </w:p>
        </w:tc>
        <w:tc>
          <w:tcPr>
            <w:tcW w:type="dxa" w:w="1234"/>
          </w:tcPr>
          <w:p>
            <w:pPr>
              <w:jc w:val="center"/>
            </w:pPr>
            <w:r>
              <w:rPr>
                <w:rFonts w:ascii="宋体" w:hAnsi="宋体" w:eastAsia="宋体"/>
              </w:rPr>
              <w:t>11</w:t>
            </w:r>
          </w:p>
        </w:tc>
        <w:tc>
          <w:tcPr>
            <w:tcW w:type="dxa" w:w="1234"/>
          </w:tcPr>
          <w:p>
            <w:pPr>
              <w:jc w:val="center"/>
            </w:pPr>
            <w:r>
              <w:rPr>
                <w:rFonts w:ascii="宋体" w:hAnsi="宋体" w:eastAsia="宋体"/>
              </w:rPr>
              <w:t>2</w:t>
            </w:r>
          </w:p>
        </w:tc>
        <w:tc>
          <w:tcPr>
            <w:tcW w:type="dxa" w:w="1234"/>
          </w:tcPr>
          <w:p>
            <w:pPr>
              <w:jc w:val="center"/>
            </w:pPr>
            <w:r>
              <w:rPr>
                <w:rFonts w:ascii="宋体" w:hAnsi="宋体" w:eastAsia="宋体"/>
              </w:rPr>
              <w:t>0</w:t>
            </w:r>
          </w:p>
        </w:tc>
        <w:tc>
          <w:tcPr>
            <w:tcW w:type="dxa" w:w="1234"/>
          </w:tcPr>
          <w:p>
            <w:pPr>
              <w:jc w:val="center"/>
            </w:pPr>
            <w:r>
              <w:rPr>
                <w:rFonts w:ascii="宋体" w:hAnsi="宋体" w:eastAsia="宋体"/>
              </w:rPr>
              <w:t>2</w:t>
            </w:r>
          </w:p>
        </w:tc>
        <w:tc>
          <w:tcPr>
            <w:tcW w:type="dxa" w:w="1234"/>
          </w:tcPr>
          <w:p>
            <w:pPr>
              <w:jc w:val="center"/>
            </w:pPr>
            <w:r>
              <w:rPr>
                <w:rFonts w:ascii="宋体" w:hAnsi="宋体" w:eastAsia="宋体"/>
              </w:rPr>
              <w:t>3</w:t>
            </w:r>
          </w:p>
        </w:tc>
        <w:tc>
          <w:tcPr>
            <w:tcW w:type="dxa" w:w="1234"/>
          </w:tcPr>
          <w:p>
            <w:pPr>
              <w:jc w:val="center"/>
            </w:pPr>
            <w:r>
              <w:rPr>
                <w:rFonts w:ascii="宋体" w:hAnsi="宋体" w:eastAsia="宋体"/>
              </w:rPr>
              <w:t>2</w:t>
            </w:r>
          </w:p>
        </w:tc>
      </w:tr>
      <w:tr>
        <w:tc>
          <w:tcPr>
            <w:tcW w:type="dxa" w:w="1234"/>
          </w:tcPr>
          <w:p>
            <w:pPr>
              <w:jc w:val="center"/>
            </w:pPr>
            <w:r>
              <w:rPr>
                <w:rFonts w:ascii="宋体" w:hAnsi="宋体" w:eastAsia="宋体"/>
              </w:rPr>
              <w:t>最大值</w:t>
            </w:r>
          </w:p>
        </w:tc>
        <w:tc>
          <w:tcPr>
            <w:tcW w:type="dxa" w:w="1234"/>
          </w:tcPr>
          <w:p>
            <w:pPr>
              <w:jc w:val="center"/>
            </w:pPr>
            <w:r>
              <w:rPr>
                <w:rFonts w:ascii="宋体" w:hAnsi="宋体" w:eastAsia="宋体"/>
              </w:rPr>
              <w:t>20</w:t>
            </w:r>
          </w:p>
        </w:tc>
        <w:tc>
          <w:tcPr>
            <w:tcW w:type="dxa" w:w="1234"/>
          </w:tcPr>
          <w:p>
            <w:pPr>
              <w:jc w:val="center"/>
            </w:pPr>
            <w:r>
              <w:rPr>
                <w:rFonts w:ascii="宋体" w:hAnsi="宋体" w:eastAsia="宋体"/>
              </w:rPr>
              <w:t>4</w:t>
            </w:r>
          </w:p>
        </w:tc>
        <w:tc>
          <w:tcPr>
            <w:tcW w:type="dxa" w:w="1234"/>
          </w:tcPr>
          <w:p>
            <w:pPr>
              <w:jc w:val="center"/>
            </w:pPr>
            <w:r>
              <w:rPr>
                <w:rFonts w:ascii="宋体" w:hAnsi="宋体" w:eastAsia="宋体"/>
              </w:rPr>
              <w:t>3</w:t>
            </w:r>
          </w:p>
        </w:tc>
        <w:tc>
          <w:tcPr>
            <w:tcW w:type="dxa" w:w="1234"/>
          </w:tcPr>
          <w:p>
            <w:pPr>
              <w:jc w:val="center"/>
            </w:pPr>
            <w:r>
              <w:rPr>
                <w:rFonts w:ascii="宋体" w:hAnsi="宋体" w:eastAsia="宋体"/>
              </w:rPr>
              <w:t>75</w:t>
            </w:r>
          </w:p>
        </w:tc>
        <w:tc>
          <w:tcPr>
            <w:tcW w:type="dxa" w:w="1234"/>
          </w:tcPr>
          <w:p>
            <w:pPr>
              <w:jc w:val="center"/>
            </w:pPr>
            <w:r>
              <w:rPr>
                <w:rFonts w:ascii="宋体" w:hAnsi="宋体" w:eastAsia="宋体"/>
              </w:rPr>
              <w:t>4</w:t>
            </w:r>
          </w:p>
        </w:tc>
        <w:tc>
          <w:tcPr>
            <w:tcW w:type="dxa" w:w="1234"/>
          </w:tcPr>
          <w:p>
            <w:pPr>
              <w:jc w:val="center"/>
            </w:pPr>
            <w:r>
              <w:rPr>
                <w:rFonts w:ascii="宋体" w:hAnsi="宋体" w:eastAsia="宋体"/>
              </w:rPr>
              <w:t>4</w:t>
            </w:r>
          </w:p>
        </w:tc>
      </w:tr>
    </w:tbl>
    <w:p>
      <w:pPr>
        <w:spacing w:line="360" w:lineRule="auto" w:after="120"/>
        <w:ind w:firstLine="420"/>
      </w:pPr>
      <w:r>
        <w:t>**图1 最终成绩 G3 分布图**</w:t>
      </w:r>
    </w:p>
    <w:p>
      <w:pPr>
        <w:jc w:val="center"/>
      </w:pPr>
      <w:r>
        <w:drawing>
          <wp:inline xmlns:a="http://schemas.openxmlformats.org/drawingml/2006/main" xmlns:pic="http://schemas.openxmlformats.org/drawingml/2006/picture">
            <wp:extent cx="5220000" cy="3355714"/>
            <wp:docPr id="1" name="Picture 1"/>
            <wp:cNvGraphicFramePr>
              <a:graphicFrameLocks noChangeAspect="1"/>
            </wp:cNvGraphicFramePr>
            <a:graphic>
              <a:graphicData uri="http://schemas.openxmlformats.org/drawingml/2006/picture">
                <pic:pic>
                  <pic:nvPicPr>
                    <pic:cNvPr id="0" name="fig1_g3_distribution.png"/>
                    <pic:cNvPicPr/>
                  </pic:nvPicPr>
                  <pic:blipFill>
                    <a:blip r:embed="rId9"/>
                    <a:stretch>
                      <a:fillRect/>
                    </a:stretch>
                  </pic:blipFill>
                  <pic:spPr>
                    <a:xfrm>
                      <a:off x="0" y="0"/>
                      <a:ext cx="5220000" cy="3355714"/>
                    </a:xfrm>
                    <a:prstGeom prst="rect"/>
                  </pic:spPr>
                </pic:pic>
              </a:graphicData>
            </a:graphic>
          </wp:inline>
        </w:drawing>
      </w:r>
    </w:p>
    <w:p>
      <w:pPr>
        <w:jc w:val="center"/>
      </w:pPr>
      <w:r>
        <w:t>图1</w:t>
      </w:r>
    </w:p>
    <w:p>
      <w:pPr>
        <w:spacing w:line="360" w:lineRule="auto" w:after="120"/>
        <w:ind w:firstLine="420"/>
      </w:pPr>
      <w:r>
        <w:t>相关性分析显示，</w:t>
      </w:r>
      <w:r>
        <w:rPr>
          <w:rFonts w:ascii="Consolas" w:hAnsi="Consolas" w:eastAsia="Consolas"/>
        </w:rPr>
        <w:t>failures</w:t>
      </w:r>
      <w:r>
        <w:t xml:space="preserve"> 与成绩呈明显负向关系，</w:t>
      </w:r>
      <w:r>
        <w:rPr>
          <w:rFonts w:ascii="Consolas" w:hAnsi="Consolas" w:eastAsia="Consolas"/>
        </w:rPr>
        <w:t>studytime</w:t>
      </w:r>
      <w:r>
        <w:t xml:space="preserve"> 与成绩呈正向关系，</w:t>
      </w:r>
      <w:r>
        <w:rPr>
          <w:rFonts w:ascii="Consolas" w:hAnsi="Consolas" w:eastAsia="Consolas"/>
        </w:rPr>
        <w:t>absences</w:t>
      </w:r>
      <w:r>
        <w:t xml:space="preserve"> 与成绩总体偏负，符合教育实践中的经验规律。</w:t>
      </w:r>
    </w:p>
    <w:p>
      <w:pPr>
        <w:spacing w:line="360" w:lineRule="auto" w:after="120"/>
        <w:ind w:firstLine="420"/>
      </w:pPr>
      <w:r>
        <w:t>**图2 关键数值特征相关性热力图**</w:t>
      </w:r>
    </w:p>
    <w:p>
      <w:pPr>
        <w:jc w:val="center"/>
      </w:pPr>
      <w:r>
        <w:drawing>
          <wp:inline xmlns:a="http://schemas.openxmlformats.org/drawingml/2006/main" xmlns:pic="http://schemas.openxmlformats.org/drawingml/2006/picture">
            <wp:extent cx="5220000" cy="3915000"/>
            <wp:docPr id="2" name="Picture 2"/>
            <wp:cNvGraphicFramePr>
              <a:graphicFrameLocks noChangeAspect="1"/>
            </wp:cNvGraphicFramePr>
            <a:graphic>
              <a:graphicData uri="http://schemas.openxmlformats.org/drawingml/2006/picture">
                <pic:pic>
                  <pic:nvPicPr>
                    <pic:cNvPr id="0" name="fig2_correlation_heatmap.png"/>
                    <pic:cNvPicPr/>
                  </pic:nvPicPr>
                  <pic:blipFill>
                    <a:blip r:embed="rId10"/>
                    <a:stretch>
                      <a:fillRect/>
                    </a:stretch>
                  </pic:blipFill>
                  <pic:spPr>
                    <a:xfrm>
                      <a:off x="0" y="0"/>
                      <a:ext cx="5220000" cy="3915000"/>
                    </a:xfrm>
                    <a:prstGeom prst="rect"/>
                  </pic:spPr>
                </pic:pic>
              </a:graphicData>
            </a:graphic>
          </wp:inline>
        </w:drawing>
      </w:r>
    </w:p>
    <w:p>
      <w:pPr>
        <w:jc w:val="center"/>
      </w:pPr>
      <w:r>
        <w:t>图2</w:t>
      </w:r>
    </w:p>
    <w:p>
      <w:pPr>
        <w:spacing w:line="360" w:lineRule="auto" w:after="120"/>
        <w:ind w:firstLine="420"/>
      </w:pPr>
      <w:r>
        <w:t>模型对比结果表明，XGBoost 在交叉验证阶段表现最优，Random Forest 次之，Ridge 与 Extra Trees 相对较弱，说明学习行为与成绩关系中存在较强非线性与交互效应。</w:t>
      </w:r>
    </w:p>
    <w:p>
      <w:pPr>
        <w:spacing w:line="360" w:lineRule="auto" w:after="120"/>
        <w:ind w:firstLine="420"/>
      </w:pPr>
      <w:r>
        <w:t>**表2-2 四类模型交叉验证结果**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rPr>
              <w:t>模型</w:t>
            </w:r>
          </w:p>
        </w:tc>
        <w:tc>
          <w:tcPr>
            <w:tcW w:type="dxa" w:w="1728"/>
          </w:tcPr>
          <w:p>
            <w:pPr>
              <w:jc w:val="center"/>
            </w:pPr>
            <w:r>
              <w:rPr>
                <w:rFonts w:ascii="宋体" w:hAnsi="宋体" w:eastAsia="宋体"/>
                <w:b/>
              </w:rPr>
              <w:t>CV RMSE</w:t>
            </w:r>
          </w:p>
        </w:tc>
        <w:tc>
          <w:tcPr>
            <w:tcW w:type="dxa" w:w="1728"/>
          </w:tcPr>
          <w:p>
            <w:pPr>
              <w:jc w:val="center"/>
            </w:pPr>
            <w:r>
              <w:rPr>
                <w:rFonts w:ascii="宋体" w:hAnsi="宋体" w:eastAsia="宋体"/>
                <w:b/>
              </w:rPr>
              <w:t>CV RMSE Std</w:t>
            </w:r>
          </w:p>
        </w:tc>
        <w:tc>
          <w:tcPr>
            <w:tcW w:type="dxa" w:w="1728"/>
          </w:tcPr>
          <w:p>
            <w:pPr>
              <w:jc w:val="center"/>
            </w:pPr>
            <w:r>
              <w:rPr>
                <w:rFonts w:ascii="宋体" w:hAnsi="宋体" w:eastAsia="宋体"/>
                <w:b/>
              </w:rPr>
              <w:t>CV MAE</w:t>
            </w:r>
          </w:p>
        </w:tc>
        <w:tc>
          <w:tcPr>
            <w:tcW w:type="dxa" w:w="1728"/>
          </w:tcPr>
          <w:p>
            <w:pPr>
              <w:jc w:val="center"/>
            </w:pPr>
            <w:r>
              <w:rPr>
                <w:rFonts w:ascii="宋体" w:hAnsi="宋体" w:eastAsia="宋体"/>
                <w:b/>
              </w:rPr>
              <w:t>CV R²</w:t>
            </w:r>
          </w:p>
        </w:tc>
      </w:tr>
      <w:tr>
        <w:tc>
          <w:tcPr>
            <w:tcW w:type="dxa" w:w="1728"/>
          </w:tcPr>
          <w:p>
            <w:pPr>
              <w:jc w:val="center"/>
            </w:pPr>
            <w:r>
              <w:rPr>
                <w:rFonts w:ascii="宋体" w:hAnsi="宋体" w:eastAsia="宋体"/>
              </w:rPr>
              <w:t>XGBoost</w:t>
            </w:r>
          </w:p>
        </w:tc>
        <w:tc>
          <w:tcPr>
            <w:tcW w:type="dxa" w:w="1728"/>
          </w:tcPr>
          <w:p>
            <w:pPr>
              <w:jc w:val="center"/>
            </w:pPr>
            <w:r>
              <w:rPr>
                <w:rFonts w:ascii="宋体" w:hAnsi="宋体" w:eastAsia="宋体"/>
              </w:rPr>
              <w:t>3.003</w:t>
            </w:r>
          </w:p>
        </w:tc>
        <w:tc>
          <w:tcPr>
            <w:tcW w:type="dxa" w:w="1728"/>
          </w:tcPr>
          <w:p>
            <w:pPr>
              <w:jc w:val="center"/>
            </w:pPr>
            <w:r>
              <w:rPr>
                <w:rFonts w:ascii="宋体" w:hAnsi="宋体" w:eastAsia="宋体"/>
              </w:rPr>
              <w:t>0.469</w:t>
            </w:r>
          </w:p>
        </w:tc>
        <w:tc>
          <w:tcPr>
            <w:tcW w:type="dxa" w:w="1728"/>
          </w:tcPr>
          <w:p>
            <w:pPr>
              <w:jc w:val="center"/>
            </w:pPr>
            <w:r>
              <w:rPr>
                <w:rFonts w:ascii="宋体" w:hAnsi="宋体" w:eastAsia="宋体"/>
              </w:rPr>
              <w:t>2.212</w:t>
            </w:r>
          </w:p>
        </w:tc>
        <w:tc>
          <w:tcPr>
            <w:tcW w:type="dxa" w:w="1728"/>
          </w:tcPr>
          <w:p>
            <w:pPr>
              <w:jc w:val="center"/>
            </w:pPr>
            <w:r>
              <w:rPr>
                <w:rFonts w:ascii="宋体" w:hAnsi="宋体" w:eastAsia="宋体"/>
              </w:rPr>
              <w:t>0.378</w:t>
            </w:r>
          </w:p>
        </w:tc>
      </w:tr>
      <w:tr>
        <w:tc>
          <w:tcPr>
            <w:tcW w:type="dxa" w:w="1728"/>
          </w:tcPr>
          <w:p>
            <w:pPr>
              <w:jc w:val="center"/>
            </w:pPr>
            <w:r>
              <w:rPr>
                <w:rFonts w:ascii="宋体" w:hAnsi="宋体" w:eastAsia="宋体"/>
              </w:rPr>
              <w:t>Random Forest</w:t>
            </w:r>
          </w:p>
        </w:tc>
        <w:tc>
          <w:tcPr>
            <w:tcW w:type="dxa" w:w="1728"/>
          </w:tcPr>
          <w:p>
            <w:pPr>
              <w:jc w:val="center"/>
            </w:pPr>
            <w:r>
              <w:rPr>
                <w:rFonts w:ascii="宋体" w:hAnsi="宋体" w:eastAsia="宋体"/>
              </w:rPr>
              <w:t>3.096</w:t>
            </w:r>
          </w:p>
        </w:tc>
        <w:tc>
          <w:tcPr>
            <w:tcW w:type="dxa" w:w="1728"/>
          </w:tcPr>
          <w:p>
            <w:pPr>
              <w:jc w:val="center"/>
            </w:pPr>
            <w:r>
              <w:rPr>
                <w:rFonts w:ascii="宋体" w:hAnsi="宋体" w:eastAsia="宋体"/>
              </w:rPr>
              <w:t>0.397</w:t>
            </w:r>
          </w:p>
        </w:tc>
        <w:tc>
          <w:tcPr>
            <w:tcW w:type="dxa" w:w="1728"/>
          </w:tcPr>
          <w:p>
            <w:pPr>
              <w:jc w:val="center"/>
            </w:pPr>
            <w:r>
              <w:rPr>
                <w:rFonts w:ascii="宋体" w:hAnsi="宋体" w:eastAsia="宋体"/>
              </w:rPr>
              <w:t>2.263</w:t>
            </w:r>
          </w:p>
        </w:tc>
        <w:tc>
          <w:tcPr>
            <w:tcW w:type="dxa" w:w="1728"/>
          </w:tcPr>
          <w:p>
            <w:pPr>
              <w:jc w:val="center"/>
            </w:pPr>
            <w:r>
              <w:rPr>
                <w:rFonts w:ascii="宋体" w:hAnsi="宋体" w:eastAsia="宋体"/>
              </w:rPr>
              <w:t>0.340</w:t>
            </w:r>
          </w:p>
        </w:tc>
      </w:tr>
      <w:tr>
        <w:tc>
          <w:tcPr>
            <w:tcW w:type="dxa" w:w="1728"/>
          </w:tcPr>
          <w:p>
            <w:pPr>
              <w:jc w:val="center"/>
            </w:pPr>
            <w:r>
              <w:rPr>
                <w:rFonts w:ascii="宋体" w:hAnsi="宋体" w:eastAsia="宋体"/>
              </w:rPr>
              <w:t>Ridge</w:t>
            </w:r>
          </w:p>
        </w:tc>
        <w:tc>
          <w:tcPr>
            <w:tcW w:type="dxa" w:w="1728"/>
          </w:tcPr>
          <w:p>
            <w:pPr>
              <w:jc w:val="center"/>
            </w:pPr>
            <w:r>
              <w:rPr>
                <w:rFonts w:ascii="宋体" w:hAnsi="宋体" w:eastAsia="宋体"/>
              </w:rPr>
              <w:t>3.397</w:t>
            </w:r>
          </w:p>
        </w:tc>
        <w:tc>
          <w:tcPr>
            <w:tcW w:type="dxa" w:w="1728"/>
          </w:tcPr>
          <w:p>
            <w:pPr>
              <w:jc w:val="center"/>
            </w:pPr>
            <w:r>
              <w:rPr>
                <w:rFonts w:ascii="宋体" w:hAnsi="宋体" w:eastAsia="宋体"/>
              </w:rPr>
              <w:t>0.291</w:t>
            </w:r>
          </w:p>
        </w:tc>
        <w:tc>
          <w:tcPr>
            <w:tcW w:type="dxa" w:w="1728"/>
          </w:tcPr>
          <w:p>
            <w:pPr>
              <w:jc w:val="center"/>
            </w:pPr>
            <w:r>
              <w:rPr>
                <w:rFonts w:ascii="宋体" w:hAnsi="宋体" w:eastAsia="宋体"/>
              </w:rPr>
              <w:t>2.466</w:t>
            </w:r>
          </w:p>
        </w:tc>
        <w:tc>
          <w:tcPr>
            <w:tcW w:type="dxa" w:w="1728"/>
          </w:tcPr>
          <w:p>
            <w:pPr>
              <w:jc w:val="center"/>
            </w:pPr>
            <w:r>
              <w:rPr>
                <w:rFonts w:ascii="宋体" w:hAnsi="宋体" w:eastAsia="宋体"/>
              </w:rPr>
              <w:t>0.207</w:t>
            </w:r>
          </w:p>
        </w:tc>
      </w:tr>
      <w:tr>
        <w:tc>
          <w:tcPr>
            <w:tcW w:type="dxa" w:w="1728"/>
          </w:tcPr>
          <w:p>
            <w:pPr>
              <w:jc w:val="center"/>
            </w:pPr>
            <w:r>
              <w:rPr>
                <w:rFonts w:ascii="宋体" w:hAnsi="宋体" w:eastAsia="宋体"/>
              </w:rPr>
              <w:t>Extra Trees</w:t>
            </w:r>
          </w:p>
        </w:tc>
        <w:tc>
          <w:tcPr>
            <w:tcW w:type="dxa" w:w="1728"/>
          </w:tcPr>
          <w:p>
            <w:pPr>
              <w:jc w:val="center"/>
            </w:pPr>
            <w:r>
              <w:rPr>
                <w:rFonts w:ascii="宋体" w:hAnsi="宋体" w:eastAsia="宋体"/>
              </w:rPr>
              <w:t>3.481</w:t>
            </w:r>
          </w:p>
        </w:tc>
        <w:tc>
          <w:tcPr>
            <w:tcW w:type="dxa" w:w="1728"/>
          </w:tcPr>
          <w:p>
            <w:pPr>
              <w:jc w:val="center"/>
            </w:pPr>
            <w:r>
              <w:rPr>
                <w:rFonts w:ascii="宋体" w:hAnsi="宋体" w:eastAsia="宋体"/>
              </w:rPr>
              <w:t>0.380</w:t>
            </w:r>
          </w:p>
        </w:tc>
        <w:tc>
          <w:tcPr>
            <w:tcW w:type="dxa" w:w="1728"/>
          </w:tcPr>
          <w:p>
            <w:pPr>
              <w:jc w:val="center"/>
            </w:pPr>
            <w:r>
              <w:rPr>
                <w:rFonts w:ascii="宋体" w:hAnsi="宋体" w:eastAsia="宋体"/>
              </w:rPr>
              <w:t>2.551</w:t>
            </w:r>
          </w:p>
        </w:tc>
        <w:tc>
          <w:tcPr>
            <w:tcW w:type="dxa" w:w="1728"/>
          </w:tcPr>
          <w:p>
            <w:pPr>
              <w:jc w:val="center"/>
            </w:pPr>
            <w:r>
              <w:rPr>
                <w:rFonts w:ascii="宋体" w:hAnsi="宋体" w:eastAsia="宋体"/>
              </w:rPr>
              <w:t>0.160</w:t>
            </w:r>
          </w:p>
        </w:tc>
      </w:tr>
    </w:tbl>
    <w:p>
      <w:pPr>
        <w:spacing w:line="360" w:lineRule="auto" w:after="120"/>
        <w:ind w:firstLine="420"/>
      </w:pPr>
      <w:r>
        <w:t>**图3 各模型 RMSE 对比图（10 折 CV）**</w:t>
      </w:r>
    </w:p>
    <w:p>
      <w:pPr>
        <w:jc w:val="center"/>
      </w:pPr>
      <w:r>
        <w:drawing>
          <wp:inline xmlns:a="http://schemas.openxmlformats.org/drawingml/2006/main" xmlns:pic="http://schemas.openxmlformats.org/drawingml/2006/picture">
            <wp:extent cx="5220000" cy="3132000"/>
            <wp:docPr id="3" name="Picture 3"/>
            <wp:cNvGraphicFramePr>
              <a:graphicFrameLocks noChangeAspect="1"/>
            </wp:cNvGraphicFramePr>
            <a:graphic>
              <a:graphicData uri="http://schemas.openxmlformats.org/drawingml/2006/picture">
                <pic:pic>
                  <pic:nvPicPr>
                    <pic:cNvPr id="0" name="fig3_model_rmse.png"/>
                    <pic:cNvPicPr/>
                  </pic:nvPicPr>
                  <pic:blipFill>
                    <a:blip r:embed="rId11"/>
                    <a:stretch>
                      <a:fillRect/>
                    </a:stretch>
                  </pic:blipFill>
                  <pic:spPr>
                    <a:xfrm>
                      <a:off x="0" y="0"/>
                      <a:ext cx="5220000" cy="3132000"/>
                    </a:xfrm>
                    <a:prstGeom prst="rect"/>
                  </pic:spPr>
                </pic:pic>
              </a:graphicData>
            </a:graphic>
          </wp:inline>
        </w:drawing>
      </w:r>
    </w:p>
    <w:p>
      <w:pPr>
        <w:jc w:val="center"/>
      </w:pPr>
      <w:r>
        <w:t>图3</w:t>
      </w:r>
    </w:p>
    <w:p>
      <w:pPr>
        <w:spacing w:line="360" w:lineRule="auto" w:after="120"/>
        <w:ind w:firstLine="420"/>
      </w:pPr>
      <w:r>
        <w:t>在独立测试集上，XGBoost 的 RMSE 为 3.335，MAE 为 2.438，R² 为 0.281。散点图显示多数样本沿对角线分布，但在低分段和高波动样本区域误差更大。</w:t>
      </w:r>
    </w:p>
    <w:p>
      <w:pPr>
        <w:spacing w:line="360" w:lineRule="auto" w:after="120"/>
        <w:ind w:firstLine="420"/>
      </w:pPr>
      <w:r>
        <w:t>**图4 测试集真实值-预测值散点图**</w:t>
      </w:r>
    </w:p>
    <w:p>
      <w:pPr>
        <w:jc w:val="center"/>
      </w:pPr>
      <w:r>
        <w:drawing>
          <wp:inline xmlns:a="http://schemas.openxmlformats.org/drawingml/2006/main" xmlns:pic="http://schemas.openxmlformats.org/drawingml/2006/picture">
            <wp:extent cx="5220000" cy="4818462"/>
            <wp:docPr id="4" name="Picture 4"/>
            <wp:cNvGraphicFramePr>
              <a:graphicFrameLocks noChangeAspect="1"/>
            </wp:cNvGraphicFramePr>
            <a:graphic>
              <a:graphicData uri="http://schemas.openxmlformats.org/drawingml/2006/picture">
                <pic:pic>
                  <pic:nvPicPr>
                    <pic:cNvPr id="0" name="fig4_actual_vs_pred.png"/>
                    <pic:cNvPicPr/>
                  </pic:nvPicPr>
                  <pic:blipFill>
                    <a:blip r:embed="rId12"/>
                    <a:stretch>
                      <a:fillRect/>
                    </a:stretch>
                  </pic:blipFill>
                  <pic:spPr>
                    <a:xfrm>
                      <a:off x="0" y="0"/>
                      <a:ext cx="5220000" cy="4818462"/>
                    </a:xfrm>
                    <a:prstGeom prst="rect"/>
                  </pic:spPr>
                </pic:pic>
              </a:graphicData>
            </a:graphic>
          </wp:inline>
        </w:drawing>
      </w:r>
    </w:p>
    <w:p>
      <w:pPr>
        <w:jc w:val="center"/>
      </w:pPr>
      <w:r>
        <w:t>图4</w:t>
      </w:r>
    </w:p>
    <w:p>
      <w:pPr>
        <w:spacing w:line="360" w:lineRule="auto" w:after="120"/>
        <w:ind w:firstLine="420"/>
      </w:pPr>
      <w:r>
        <w:t>为了展示误差结构，本文将测试集按真实成绩分为低分、中分和高分三个区间。结果显示中分段误差最低，低分段误差最高，说明高风险群体需要更细粒度的人机协同复核。</w:t>
      </w:r>
    </w:p>
    <w:p>
      <w:pPr>
        <w:spacing w:line="360" w:lineRule="auto" w:after="120"/>
        <w:ind w:firstLine="420"/>
      </w:pPr>
      <w:r>
        <w:t>**表2-3 不同成绩段测试误差对比（XGBoost）**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rPr>
              <w:t>成绩段</w:t>
            </w:r>
          </w:p>
        </w:tc>
        <w:tc>
          <w:tcPr>
            <w:tcW w:type="dxa" w:w="2160"/>
          </w:tcPr>
          <w:p>
            <w:pPr>
              <w:jc w:val="center"/>
            </w:pPr>
            <w:r>
              <w:rPr>
                <w:rFonts w:ascii="宋体" w:hAnsi="宋体" w:eastAsia="宋体"/>
                <w:b/>
              </w:rPr>
              <w:t>样本数</w:t>
            </w:r>
          </w:p>
        </w:tc>
        <w:tc>
          <w:tcPr>
            <w:tcW w:type="dxa" w:w="2160"/>
          </w:tcPr>
          <w:p>
            <w:pPr>
              <w:jc w:val="center"/>
            </w:pPr>
            <w:r>
              <w:rPr>
                <w:rFonts w:ascii="宋体" w:hAnsi="宋体" w:eastAsia="宋体"/>
                <w:b/>
              </w:rPr>
              <w:t>平均绝对误差</w:t>
            </w:r>
          </w:p>
        </w:tc>
        <w:tc>
          <w:tcPr>
            <w:tcW w:type="dxa" w:w="2160"/>
          </w:tcPr>
          <w:p>
            <w:pPr>
              <w:jc w:val="center"/>
            </w:pPr>
            <w:r>
              <w:rPr>
                <w:rFonts w:ascii="宋体" w:hAnsi="宋体" w:eastAsia="宋体"/>
                <w:b/>
              </w:rPr>
              <w:t>均方根误差</w:t>
            </w:r>
          </w:p>
        </w:tc>
      </w:tr>
      <w:tr>
        <w:tc>
          <w:tcPr>
            <w:tcW w:type="dxa" w:w="2160"/>
          </w:tcPr>
          <w:p>
            <w:pPr>
              <w:jc w:val="center"/>
            </w:pPr>
            <w:r>
              <w:rPr>
                <w:rFonts w:ascii="宋体" w:hAnsi="宋体" w:eastAsia="宋体"/>
              </w:rPr>
              <w:t>低分（0-9）</w:t>
            </w:r>
          </w:p>
        </w:tc>
        <w:tc>
          <w:tcPr>
            <w:tcW w:type="dxa" w:w="2160"/>
          </w:tcPr>
          <w:p>
            <w:pPr>
              <w:jc w:val="center"/>
            </w:pPr>
            <w:r>
              <w:rPr>
                <w:rFonts w:ascii="宋体" w:hAnsi="宋体" w:eastAsia="宋体"/>
              </w:rPr>
              <w:t>60</w:t>
            </w:r>
          </w:p>
        </w:tc>
        <w:tc>
          <w:tcPr>
            <w:tcW w:type="dxa" w:w="2160"/>
          </w:tcPr>
          <w:p>
            <w:pPr>
              <w:jc w:val="center"/>
            </w:pPr>
            <w:r>
              <w:rPr>
                <w:rFonts w:ascii="宋体" w:hAnsi="宋体" w:eastAsia="宋体"/>
              </w:rPr>
              <w:t>3.301</w:t>
            </w:r>
          </w:p>
        </w:tc>
        <w:tc>
          <w:tcPr>
            <w:tcW w:type="dxa" w:w="2160"/>
          </w:tcPr>
          <w:p>
            <w:pPr>
              <w:jc w:val="center"/>
            </w:pPr>
            <w:r>
              <w:rPr>
                <w:rFonts w:ascii="宋体" w:hAnsi="宋体" w:eastAsia="宋体"/>
              </w:rPr>
              <w:t>4.428</w:t>
            </w:r>
          </w:p>
        </w:tc>
      </w:tr>
      <w:tr>
        <w:tc>
          <w:tcPr>
            <w:tcW w:type="dxa" w:w="2160"/>
          </w:tcPr>
          <w:p>
            <w:pPr>
              <w:jc w:val="center"/>
            </w:pPr>
            <w:r>
              <w:rPr>
                <w:rFonts w:ascii="宋体" w:hAnsi="宋体" w:eastAsia="宋体"/>
              </w:rPr>
              <w:t>中分（10-13）</w:t>
            </w:r>
          </w:p>
        </w:tc>
        <w:tc>
          <w:tcPr>
            <w:tcW w:type="dxa" w:w="2160"/>
          </w:tcPr>
          <w:p>
            <w:pPr>
              <w:jc w:val="center"/>
            </w:pPr>
            <w:r>
              <w:rPr>
                <w:rFonts w:ascii="宋体" w:hAnsi="宋体" w:eastAsia="宋体"/>
              </w:rPr>
              <w:t>95</w:t>
            </w:r>
          </w:p>
        </w:tc>
        <w:tc>
          <w:tcPr>
            <w:tcW w:type="dxa" w:w="2160"/>
          </w:tcPr>
          <w:p>
            <w:pPr>
              <w:jc w:val="center"/>
            </w:pPr>
            <w:r>
              <w:rPr>
                <w:rFonts w:ascii="宋体" w:hAnsi="宋体" w:eastAsia="宋体"/>
              </w:rPr>
              <w:t>1.709</w:t>
            </w:r>
          </w:p>
        </w:tc>
        <w:tc>
          <w:tcPr>
            <w:tcW w:type="dxa" w:w="2160"/>
          </w:tcPr>
          <w:p>
            <w:pPr>
              <w:jc w:val="center"/>
            </w:pPr>
            <w:r>
              <w:rPr>
                <w:rFonts w:ascii="宋体" w:hAnsi="宋体" w:eastAsia="宋体"/>
              </w:rPr>
              <w:t>2.398</w:t>
            </w:r>
          </w:p>
        </w:tc>
      </w:tr>
      <w:tr>
        <w:tc>
          <w:tcPr>
            <w:tcW w:type="dxa" w:w="2160"/>
          </w:tcPr>
          <w:p>
            <w:pPr>
              <w:jc w:val="center"/>
            </w:pPr>
            <w:r>
              <w:rPr>
                <w:rFonts w:ascii="宋体" w:hAnsi="宋体" w:eastAsia="宋体"/>
              </w:rPr>
              <w:t>高分（14-20）</w:t>
            </w:r>
          </w:p>
        </w:tc>
        <w:tc>
          <w:tcPr>
            <w:tcW w:type="dxa" w:w="2160"/>
          </w:tcPr>
          <w:p>
            <w:pPr>
              <w:jc w:val="center"/>
            </w:pPr>
            <w:r>
              <w:rPr>
                <w:rFonts w:ascii="宋体" w:hAnsi="宋体" w:eastAsia="宋体"/>
              </w:rPr>
              <w:t>54</w:t>
            </w:r>
          </w:p>
        </w:tc>
        <w:tc>
          <w:tcPr>
            <w:tcW w:type="dxa" w:w="2160"/>
          </w:tcPr>
          <w:p>
            <w:pPr>
              <w:jc w:val="center"/>
            </w:pPr>
            <w:r>
              <w:rPr>
                <w:rFonts w:ascii="宋体" w:hAnsi="宋体" w:eastAsia="宋体"/>
              </w:rPr>
              <w:t>2.762</w:t>
            </w:r>
          </w:p>
        </w:tc>
        <w:tc>
          <w:tcPr>
            <w:tcW w:type="dxa" w:w="2160"/>
          </w:tcPr>
          <w:p>
            <w:pPr>
              <w:jc w:val="center"/>
            </w:pPr>
            <w:r>
              <w:rPr>
                <w:rFonts w:ascii="宋体" w:hAnsi="宋体" w:eastAsia="宋体"/>
              </w:rPr>
              <w:t>3.338</w:t>
            </w:r>
          </w:p>
        </w:tc>
      </w:tr>
    </w:tbl>
    <w:p>
      <w:pPr>
        <w:spacing w:line="360" w:lineRule="auto" w:after="120"/>
        <w:ind w:firstLine="420"/>
      </w:pPr>
      <w:r>
        <w:t>进一步按行为分组统计可见，学习时间由 1 档提升至 3 档时平均成绩明显上升；历史挂科次数增加时平均成绩显著下降，且下降幅度较大。这与模型重要性结果保持一致。</w:t>
      </w:r>
    </w:p>
    <w:p>
      <w:pPr>
        <w:spacing w:line="360" w:lineRule="auto" w:after="120"/>
        <w:ind w:firstLine="420"/>
      </w:pPr>
      <w:r>
        <w:t>**表2-4 学习时间分组与成绩统计**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rPr>
              <w:t>studytime分组</w:t>
            </w:r>
          </w:p>
        </w:tc>
        <w:tc>
          <w:tcPr>
            <w:tcW w:type="dxa" w:w="2160"/>
          </w:tcPr>
          <w:p>
            <w:pPr>
              <w:jc w:val="center"/>
            </w:pPr>
            <w:r>
              <w:rPr>
                <w:rFonts w:ascii="宋体" w:hAnsi="宋体" w:eastAsia="宋体"/>
                <w:b/>
              </w:rPr>
              <w:t>样本数</w:t>
            </w:r>
          </w:p>
        </w:tc>
        <w:tc>
          <w:tcPr>
            <w:tcW w:type="dxa" w:w="2160"/>
          </w:tcPr>
          <w:p>
            <w:pPr>
              <w:jc w:val="center"/>
            </w:pPr>
            <w:r>
              <w:rPr>
                <w:rFonts w:ascii="宋体" w:hAnsi="宋体" w:eastAsia="宋体"/>
                <w:b/>
              </w:rPr>
              <w:t>G3均值</w:t>
            </w:r>
          </w:p>
        </w:tc>
        <w:tc>
          <w:tcPr>
            <w:tcW w:type="dxa" w:w="2160"/>
          </w:tcPr>
          <w:p>
            <w:pPr>
              <w:jc w:val="center"/>
            </w:pPr>
            <w:r>
              <w:rPr>
                <w:rFonts w:ascii="宋体" w:hAnsi="宋体" w:eastAsia="宋体"/>
                <w:b/>
              </w:rPr>
              <w:t>G3标准差</w:t>
            </w:r>
          </w:p>
        </w:tc>
      </w:tr>
      <w:tr>
        <w:tc>
          <w:tcPr>
            <w:tcW w:type="dxa" w:w="2160"/>
          </w:tcPr>
          <w:p>
            <w:pPr>
              <w:jc w:val="center"/>
            </w:pPr>
            <w:r>
              <w:rPr>
                <w:rFonts w:ascii="宋体" w:hAnsi="宋体" w:eastAsia="宋体"/>
              </w:rPr>
              <w:t>1（&lt;2小时/周）</w:t>
            </w:r>
          </w:p>
        </w:tc>
        <w:tc>
          <w:tcPr>
            <w:tcW w:type="dxa" w:w="2160"/>
          </w:tcPr>
          <w:p>
            <w:pPr>
              <w:jc w:val="center"/>
            </w:pPr>
            <w:r>
              <w:rPr>
                <w:rFonts w:ascii="宋体" w:hAnsi="宋体" w:eastAsia="宋体"/>
              </w:rPr>
              <w:t>317</w:t>
            </w:r>
          </w:p>
        </w:tc>
        <w:tc>
          <w:tcPr>
            <w:tcW w:type="dxa" w:w="2160"/>
          </w:tcPr>
          <w:p>
            <w:pPr>
              <w:jc w:val="center"/>
            </w:pPr>
            <w:r>
              <w:rPr>
                <w:rFonts w:ascii="宋体" w:hAnsi="宋体" w:eastAsia="宋体"/>
              </w:rPr>
              <w:t>10.580</w:t>
            </w:r>
          </w:p>
        </w:tc>
        <w:tc>
          <w:tcPr>
            <w:tcW w:type="dxa" w:w="2160"/>
          </w:tcPr>
          <w:p>
            <w:pPr>
              <w:jc w:val="center"/>
            </w:pPr>
            <w:r>
              <w:rPr>
                <w:rFonts w:ascii="宋体" w:hAnsi="宋体" w:eastAsia="宋体"/>
              </w:rPr>
              <w:t>3.891</w:t>
            </w:r>
          </w:p>
        </w:tc>
      </w:tr>
      <w:tr>
        <w:tc>
          <w:tcPr>
            <w:tcW w:type="dxa" w:w="2160"/>
          </w:tcPr>
          <w:p>
            <w:pPr>
              <w:jc w:val="center"/>
            </w:pPr>
            <w:r>
              <w:rPr>
                <w:rFonts w:ascii="宋体" w:hAnsi="宋体" w:eastAsia="宋体"/>
              </w:rPr>
              <w:t>2（2-5小时/周）</w:t>
            </w:r>
          </w:p>
        </w:tc>
        <w:tc>
          <w:tcPr>
            <w:tcW w:type="dxa" w:w="2160"/>
          </w:tcPr>
          <w:p>
            <w:pPr>
              <w:jc w:val="center"/>
            </w:pPr>
            <w:r>
              <w:rPr>
                <w:rFonts w:ascii="宋体" w:hAnsi="宋体" w:eastAsia="宋体"/>
              </w:rPr>
              <w:t>503</w:t>
            </w:r>
          </w:p>
        </w:tc>
        <w:tc>
          <w:tcPr>
            <w:tcW w:type="dxa" w:w="2160"/>
          </w:tcPr>
          <w:p>
            <w:pPr>
              <w:jc w:val="center"/>
            </w:pPr>
            <w:r>
              <w:rPr>
                <w:rFonts w:ascii="宋体" w:hAnsi="宋体" w:eastAsia="宋体"/>
              </w:rPr>
              <w:t>11.336</w:t>
            </w:r>
          </w:p>
        </w:tc>
        <w:tc>
          <w:tcPr>
            <w:tcW w:type="dxa" w:w="2160"/>
          </w:tcPr>
          <w:p>
            <w:pPr>
              <w:jc w:val="center"/>
            </w:pPr>
            <w:r>
              <w:rPr>
                <w:rFonts w:ascii="宋体" w:hAnsi="宋体" w:eastAsia="宋体"/>
              </w:rPr>
              <w:t>3.772</w:t>
            </w:r>
          </w:p>
        </w:tc>
      </w:tr>
      <w:tr>
        <w:tc>
          <w:tcPr>
            <w:tcW w:type="dxa" w:w="2160"/>
          </w:tcPr>
          <w:p>
            <w:pPr>
              <w:jc w:val="center"/>
            </w:pPr>
            <w:r>
              <w:rPr>
                <w:rFonts w:ascii="宋体" w:hAnsi="宋体" w:eastAsia="宋体"/>
              </w:rPr>
              <w:t>3（5-10小时/周）</w:t>
            </w:r>
          </w:p>
        </w:tc>
        <w:tc>
          <w:tcPr>
            <w:tcW w:type="dxa" w:w="2160"/>
          </w:tcPr>
          <w:p>
            <w:pPr>
              <w:jc w:val="center"/>
            </w:pPr>
            <w:r>
              <w:rPr>
                <w:rFonts w:ascii="宋体" w:hAnsi="宋体" w:eastAsia="宋体"/>
              </w:rPr>
              <w:t>162</w:t>
            </w:r>
          </w:p>
        </w:tc>
        <w:tc>
          <w:tcPr>
            <w:tcW w:type="dxa" w:w="2160"/>
          </w:tcPr>
          <w:p>
            <w:pPr>
              <w:jc w:val="center"/>
            </w:pPr>
            <w:r>
              <w:rPr>
                <w:rFonts w:ascii="宋体" w:hAnsi="宋体" w:eastAsia="宋体"/>
              </w:rPr>
              <w:t>12.494</w:t>
            </w:r>
          </w:p>
        </w:tc>
        <w:tc>
          <w:tcPr>
            <w:tcW w:type="dxa" w:w="2160"/>
          </w:tcPr>
          <w:p>
            <w:pPr>
              <w:jc w:val="center"/>
            </w:pPr>
            <w:r>
              <w:rPr>
                <w:rFonts w:ascii="宋体" w:hAnsi="宋体" w:eastAsia="宋体"/>
              </w:rPr>
              <w:t>3.619</w:t>
            </w:r>
          </w:p>
        </w:tc>
      </w:tr>
      <w:tr>
        <w:tc>
          <w:tcPr>
            <w:tcW w:type="dxa" w:w="2160"/>
          </w:tcPr>
          <w:p>
            <w:pPr>
              <w:jc w:val="center"/>
            </w:pPr>
            <w:r>
              <w:rPr>
                <w:rFonts w:ascii="宋体" w:hAnsi="宋体" w:eastAsia="宋体"/>
              </w:rPr>
              <w:t>4（&gt;10小时/周）</w:t>
            </w:r>
          </w:p>
        </w:tc>
        <w:tc>
          <w:tcPr>
            <w:tcW w:type="dxa" w:w="2160"/>
          </w:tcPr>
          <w:p>
            <w:pPr>
              <w:jc w:val="center"/>
            </w:pPr>
            <w:r>
              <w:rPr>
                <w:rFonts w:ascii="宋体" w:hAnsi="宋体" w:eastAsia="宋体"/>
              </w:rPr>
              <w:t>62</w:t>
            </w:r>
          </w:p>
        </w:tc>
        <w:tc>
          <w:tcPr>
            <w:tcW w:type="dxa" w:w="2160"/>
          </w:tcPr>
          <w:p>
            <w:pPr>
              <w:jc w:val="center"/>
            </w:pPr>
            <w:r>
              <w:rPr>
                <w:rFonts w:ascii="宋体" w:hAnsi="宋体" w:eastAsia="宋体"/>
              </w:rPr>
              <w:t>12.274</w:t>
            </w:r>
          </w:p>
        </w:tc>
        <w:tc>
          <w:tcPr>
            <w:tcW w:type="dxa" w:w="2160"/>
          </w:tcPr>
          <w:p>
            <w:pPr>
              <w:jc w:val="center"/>
            </w:pPr>
            <w:r>
              <w:rPr>
                <w:rFonts w:ascii="宋体" w:hAnsi="宋体" w:eastAsia="宋体"/>
              </w:rPr>
              <w:t>4.224</w:t>
            </w:r>
          </w:p>
        </w:tc>
      </w:tr>
    </w:tbl>
    <w:p>
      <w:pPr>
        <w:spacing w:line="360" w:lineRule="auto" w:after="120"/>
        <w:ind w:firstLine="420"/>
      </w:pPr>
      <w:r>
        <w:t>**表2-5 历史挂科次数分组与成绩统计**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rPr>
              <w:t>failures分组</w:t>
            </w:r>
          </w:p>
        </w:tc>
        <w:tc>
          <w:tcPr>
            <w:tcW w:type="dxa" w:w="2160"/>
          </w:tcPr>
          <w:p>
            <w:pPr>
              <w:jc w:val="center"/>
            </w:pPr>
            <w:r>
              <w:rPr>
                <w:rFonts w:ascii="宋体" w:hAnsi="宋体" w:eastAsia="宋体"/>
                <w:b/>
              </w:rPr>
              <w:t>样本数</w:t>
            </w:r>
          </w:p>
        </w:tc>
        <w:tc>
          <w:tcPr>
            <w:tcW w:type="dxa" w:w="2160"/>
          </w:tcPr>
          <w:p>
            <w:pPr>
              <w:jc w:val="center"/>
            </w:pPr>
            <w:r>
              <w:rPr>
                <w:rFonts w:ascii="宋体" w:hAnsi="宋体" w:eastAsia="宋体"/>
                <w:b/>
              </w:rPr>
              <w:t>G3均值</w:t>
            </w:r>
          </w:p>
        </w:tc>
        <w:tc>
          <w:tcPr>
            <w:tcW w:type="dxa" w:w="2160"/>
          </w:tcPr>
          <w:p>
            <w:pPr>
              <w:jc w:val="center"/>
            </w:pPr>
            <w:r>
              <w:rPr>
                <w:rFonts w:ascii="宋体" w:hAnsi="宋体" w:eastAsia="宋体"/>
                <w:b/>
              </w:rPr>
              <w:t>G3标准差</w:t>
            </w:r>
          </w:p>
        </w:tc>
      </w:tr>
      <w:tr>
        <w:tc>
          <w:tcPr>
            <w:tcW w:type="dxa" w:w="2160"/>
          </w:tcPr>
          <w:p>
            <w:pPr>
              <w:jc w:val="center"/>
            </w:pPr>
            <w:r>
              <w:rPr>
                <w:rFonts w:ascii="宋体" w:hAnsi="宋体" w:eastAsia="宋体"/>
              </w:rPr>
              <w:t>0</w:t>
            </w:r>
          </w:p>
        </w:tc>
        <w:tc>
          <w:tcPr>
            <w:tcW w:type="dxa" w:w="2160"/>
          </w:tcPr>
          <w:p>
            <w:pPr>
              <w:jc w:val="center"/>
            </w:pPr>
            <w:r>
              <w:rPr>
                <w:rFonts w:ascii="宋体" w:hAnsi="宋体" w:eastAsia="宋体"/>
              </w:rPr>
              <w:t>861</w:t>
            </w:r>
          </w:p>
        </w:tc>
        <w:tc>
          <w:tcPr>
            <w:tcW w:type="dxa" w:w="2160"/>
          </w:tcPr>
          <w:p>
            <w:pPr>
              <w:jc w:val="center"/>
            </w:pPr>
            <w:r>
              <w:rPr>
                <w:rFonts w:ascii="宋体" w:hAnsi="宋体" w:eastAsia="宋体"/>
              </w:rPr>
              <w:t>12.055</w:t>
            </w:r>
          </w:p>
        </w:tc>
        <w:tc>
          <w:tcPr>
            <w:tcW w:type="dxa" w:w="2160"/>
          </w:tcPr>
          <w:p>
            <w:pPr>
              <w:jc w:val="center"/>
            </w:pPr>
            <w:r>
              <w:rPr>
                <w:rFonts w:ascii="宋体" w:hAnsi="宋体" w:eastAsia="宋体"/>
              </w:rPr>
              <w:t>3.428</w:t>
            </w:r>
          </w:p>
        </w:tc>
      </w:tr>
      <w:tr>
        <w:tc>
          <w:tcPr>
            <w:tcW w:type="dxa" w:w="2160"/>
          </w:tcPr>
          <w:p>
            <w:pPr>
              <w:jc w:val="center"/>
            </w:pPr>
            <w:r>
              <w:rPr>
                <w:rFonts w:ascii="宋体" w:hAnsi="宋体" w:eastAsia="宋体"/>
              </w:rPr>
              <w:t>1</w:t>
            </w:r>
          </w:p>
        </w:tc>
        <w:tc>
          <w:tcPr>
            <w:tcW w:type="dxa" w:w="2160"/>
          </w:tcPr>
          <w:p>
            <w:pPr>
              <w:jc w:val="center"/>
            </w:pPr>
            <w:r>
              <w:rPr>
                <w:rFonts w:ascii="宋体" w:hAnsi="宋体" w:eastAsia="宋体"/>
              </w:rPr>
              <w:t>120</w:t>
            </w:r>
          </w:p>
        </w:tc>
        <w:tc>
          <w:tcPr>
            <w:tcW w:type="dxa" w:w="2160"/>
          </w:tcPr>
          <w:p>
            <w:pPr>
              <w:jc w:val="center"/>
            </w:pPr>
            <w:r>
              <w:rPr>
                <w:rFonts w:ascii="宋体" w:hAnsi="宋体" w:eastAsia="宋体"/>
              </w:rPr>
              <w:t>8.425</w:t>
            </w:r>
          </w:p>
        </w:tc>
        <w:tc>
          <w:tcPr>
            <w:tcW w:type="dxa" w:w="2160"/>
          </w:tcPr>
          <w:p>
            <w:pPr>
              <w:jc w:val="center"/>
            </w:pPr>
            <w:r>
              <w:rPr>
                <w:rFonts w:ascii="宋体" w:hAnsi="宋体" w:eastAsia="宋体"/>
              </w:rPr>
              <w:t>4.010</w:t>
            </w:r>
          </w:p>
        </w:tc>
      </w:tr>
      <w:tr>
        <w:tc>
          <w:tcPr>
            <w:tcW w:type="dxa" w:w="2160"/>
          </w:tcPr>
          <w:p>
            <w:pPr>
              <w:jc w:val="center"/>
            </w:pPr>
            <w:r>
              <w:rPr>
                <w:rFonts w:ascii="宋体" w:hAnsi="宋体" w:eastAsia="宋体"/>
              </w:rPr>
              <w:t>2</w:t>
            </w:r>
          </w:p>
        </w:tc>
        <w:tc>
          <w:tcPr>
            <w:tcW w:type="dxa" w:w="2160"/>
          </w:tcPr>
          <w:p>
            <w:pPr>
              <w:jc w:val="center"/>
            </w:pPr>
            <w:r>
              <w:rPr>
                <w:rFonts w:ascii="宋体" w:hAnsi="宋体" w:eastAsia="宋体"/>
              </w:rPr>
              <w:t>33</w:t>
            </w:r>
          </w:p>
        </w:tc>
        <w:tc>
          <w:tcPr>
            <w:tcW w:type="dxa" w:w="2160"/>
          </w:tcPr>
          <w:p>
            <w:pPr>
              <w:jc w:val="center"/>
            </w:pPr>
            <w:r>
              <w:rPr>
                <w:rFonts w:ascii="宋体" w:hAnsi="宋体" w:eastAsia="宋体"/>
              </w:rPr>
              <w:t>7.485</w:t>
            </w:r>
          </w:p>
        </w:tc>
        <w:tc>
          <w:tcPr>
            <w:tcW w:type="dxa" w:w="2160"/>
          </w:tcPr>
          <w:p>
            <w:pPr>
              <w:jc w:val="center"/>
            </w:pPr>
            <w:r>
              <w:rPr>
                <w:rFonts w:ascii="宋体" w:hAnsi="宋体" w:eastAsia="宋体"/>
              </w:rPr>
              <w:t>4.273</w:t>
            </w:r>
          </w:p>
        </w:tc>
      </w:tr>
      <w:tr>
        <w:tc>
          <w:tcPr>
            <w:tcW w:type="dxa" w:w="2160"/>
          </w:tcPr>
          <w:p>
            <w:pPr>
              <w:jc w:val="center"/>
            </w:pPr>
            <w:r>
              <w:rPr>
                <w:rFonts w:ascii="宋体" w:hAnsi="宋体" w:eastAsia="宋体"/>
              </w:rPr>
              <w:t>3</w:t>
            </w:r>
          </w:p>
        </w:tc>
        <w:tc>
          <w:tcPr>
            <w:tcW w:type="dxa" w:w="2160"/>
          </w:tcPr>
          <w:p>
            <w:pPr>
              <w:jc w:val="center"/>
            </w:pPr>
            <w:r>
              <w:rPr>
                <w:rFonts w:ascii="宋体" w:hAnsi="宋体" w:eastAsia="宋体"/>
              </w:rPr>
              <w:t>30</w:t>
            </w:r>
          </w:p>
        </w:tc>
        <w:tc>
          <w:tcPr>
            <w:tcW w:type="dxa" w:w="2160"/>
          </w:tcPr>
          <w:p>
            <w:pPr>
              <w:jc w:val="center"/>
            </w:pPr>
            <w:r>
              <w:rPr>
                <w:rFonts w:ascii="宋体" w:hAnsi="宋体" w:eastAsia="宋体"/>
              </w:rPr>
              <w:t>6.800</w:t>
            </w:r>
          </w:p>
        </w:tc>
        <w:tc>
          <w:tcPr>
            <w:tcW w:type="dxa" w:w="2160"/>
          </w:tcPr>
          <w:p>
            <w:pPr>
              <w:jc w:val="center"/>
            </w:pPr>
            <w:r>
              <w:rPr>
                <w:rFonts w:ascii="宋体" w:hAnsi="宋体" w:eastAsia="宋体"/>
              </w:rPr>
              <w:t>3.745</w:t>
            </w:r>
          </w:p>
        </w:tc>
      </w:tr>
    </w:tbl>
    <w:p>
      <w:pPr>
        <w:spacing w:line="360" w:lineRule="auto" w:after="120"/>
        <w:ind w:firstLine="420"/>
      </w:pPr>
      <w:r>
        <w:t>最后给出前 12 项关键特征的重要性值，增强量化证据的完整性。</w:t>
      </w:r>
    </w:p>
    <w:p>
      <w:pPr>
        <w:spacing w:line="360" w:lineRule="auto" w:after="120"/>
        <w:ind w:firstLine="420"/>
      </w:pPr>
      <w:r>
        <w:t>**表2-6 XGBoost前12项特征重要性**</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宋体" w:hAnsi="宋体" w:eastAsia="宋体"/>
                <w:b/>
              </w:rPr>
              <w:t>特征</w:t>
            </w:r>
          </w:p>
        </w:tc>
        <w:tc>
          <w:tcPr>
            <w:tcW w:type="dxa" w:w="4320"/>
          </w:tcPr>
          <w:p>
            <w:pPr>
              <w:jc w:val="center"/>
            </w:pPr>
            <w:r>
              <w:rPr>
                <w:rFonts w:ascii="宋体" w:hAnsi="宋体" w:eastAsia="宋体"/>
                <w:b/>
              </w:rPr>
              <w:t>重要性</w:t>
            </w:r>
          </w:p>
        </w:tc>
      </w:tr>
      <w:tr>
        <w:tc>
          <w:tcPr>
            <w:tcW w:type="dxa" w:w="4320"/>
          </w:tcPr>
          <w:p>
            <w:pPr>
              <w:jc w:val="center"/>
            </w:pPr>
            <w:r>
              <w:rPr>
                <w:rFonts w:ascii="宋体" w:hAnsi="宋体" w:eastAsia="宋体"/>
              </w:rPr>
              <w:t>failures</w:t>
            </w:r>
          </w:p>
        </w:tc>
        <w:tc>
          <w:tcPr>
            <w:tcW w:type="dxa" w:w="4320"/>
          </w:tcPr>
          <w:p>
            <w:pPr>
              <w:jc w:val="center"/>
            </w:pPr>
            <w:r>
              <w:rPr>
                <w:rFonts w:ascii="宋体" w:hAnsi="宋体" w:eastAsia="宋体"/>
              </w:rPr>
              <w:t>0.1480</w:t>
            </w:r>
          </w:p>
        </w:tc>
      </w:tr>
      <w:tr>
        <w:tc>
          <w:tcPr>
            <w:tcW w:type="dxa" w:w="4320"/>
          </w:tcPr>
          <w:p>
            <w:pPr>
              <w:jc w:val="center"/>
            </w:pPr>
            <w:r>
              <w:rPr>
                <w:rFonts w:ascii="宋体" w:hAnsi="宋体" w:eastAsia="宋体"/>
              </w:rPr>
              <w:t>schoolsup_yes</w:t>
            </w:r>
          </w:p>
        </w:tc>
        <w:tc>
          <w:tcPr>
            <w:tcW w:type="dxa" w:w="4320"/>
          </w:tcPr>
          <w:p>
            <w:pPr>
              <w:jc w:val="center"/>
            </w:pPr>
            <w:r>
              <w:rPr>
                <w:rFonts w:ascii="宋体" w:hAnsi="宋体" w:eastAsia="宋体"/>
              </w:rPr>
              <w:t>0.0641</w:t>
            </w:r>
          </w:p>
        </w:tc>
      </w:tr>
      <w:tr>
        <w:tc>
          <w:tcPr>
            <w:tcW w:type="dxa" w:w="4320"/>
          </w:tcPr>
          <w:p>
            <w:pPr>
              <w:jc w:val="center"/>
            </w:pPr>
            <w:r>
              <w:rPr>
                <w:rFonts w:ascii="宋体" w:hAnsi="宋体" w:eastAsia="宋体"/>
              </w:rPr>
              <w:t>higher_yes</w:t>
            </w:r>
          </w:p>
        </w:tc>
        <w:tc>
          <w:tcPr>
            <w:tcW w:type="dxa" w:w="4320"/>
          </w:tcPr>
          <w:p>
            <w:pPr>
              <w:jc w:val="center"/>
            </w:pPr>
            <w:r>
              <w:rPr>
                <w:rFonts w:ascii="宋体" w:hAnsi="宋体" w:eastAsia="宋体"/>
              </w:rPr>
              <w:t>0.0603</w:t>
            </w:r>
          </w:p>
        </w:tc>
      </w:tr>
      <w:tr>
        <w:tc>
          <w:tcPr>
            <w:tcW w:type="dxa" w:w="4320"/>
          </w:tcPr>
          <w:p>
            <w:pPr>
              <w:jc w:val="center"/>
            </w:pPr>
            <w:r>
              <w:rPr>
                <w:rFonts w:ascii="宋体" w:hAnsi="宋体" w:eastAsia="宋体"/>
              </w:rPr>
              <w:t>higher_no</w:t>
            </w:r>
          </w:p>
        </w:tc>
        <w:tc>
          <w:tcPr>
            <w:tcW w:type="dxa" w:w="4320"/>
          </w:tcPr>
          <w:p>
            <w:pPr>
              <w:jc w:val="center"/>
            </w:pPr>
            <w:r>
              <w:rPr>
                <w:rFonts w:ascii="宋体" w:hAnsi="宋体" w:eastAsia="宋体"/>
              </w:rPr>
              <w:t>0.0539</w:t>
            </w:r>
          </w:p>
        </w:tc>
      </w:tr>
      <w:tr>
        <w:tc>
          <w:tcPr>
            <w:tcW w:type="dxa" w:w="4320"/>
          </w:tcPr>
          <w:p>
            <w:pPr>
              <w:jc w:val="center"/>
            </w:pPr>
            <w:r>
              <w:rPr>
                <w:rFonts w:ascii="宋体" w:hAnsi="宋体" w:eastAsia="宋体"/>
              </w:rPr>
              <w:t>schoolsup_no</w:t>
            </w:r>
          </w:p>
        </w:tc>
        <w:tc>
          <w:tcPr>
            <w:tcW w:type="dxa" w:w="4320"/>
          </w:tcPr>
          <w:p>
            <w:pPr>
              <w:jc w:val="center"/>
            </w:pPr>
            <w:r>
              <w:rPr>
                <w:rFonts w:ascii="宋体" w:hAnsi="宋体" w:eastAsia="宋体"/>
              </w:rPr>
              <w:t>0.0444</w:t>
            </w:r>
          </w:p>
        </w:tc>
      </w:tr>
      <w:tr>
        <w:tc>
          <w:tcPr>
            <w:tcW w:type="dxa" w:w="4320"/>
          </w:tcPr>
          <w:p>
            <w:pPr>
              <w:jc w:val="center"/>
            </w:pPr>
            <w:r>
              <w:rPr>
                <w:rFonts w:ascii="宋体" w:hAnsi="宋体" w:eastAsia="宋体"/>
              </w:rPr>
              <w:t>Fjob_teacher</w:t>
            </w:r>
          </w:p>
        </w:tc>
        <w:tc>
          <w:tcPr>
            <w:tcW w:type="dxa" w:w="4320"/>
          </w:tcPr>
          <w:p>
            <w:pPr>
              <w:jc w:val="center"/>
            </w:pPr>
            <w:r>
              <w:rPr>
                <w:rFonts w:ascii="宋体" w:hAnsi="宋体" w:eastAsia="宋体"/>
              </w:rPr>
              <w:t>0.0221</w:t>
            </w:r>
          </w:p>
        </w:tc>
      </w:tr>
      <w:tr>
        <w:tc>
          <w:tcPr>
            <w:tcW w:type="dxa" w:w="4320"/>
          </w:tcPr>
          <w:p>
            <w:pPr>
              <w:jc w:val="center"/>
            </w:pPr>
            <w:r>
              <w:rPr>
                <w:rFonts w:ascii="宋体" w:hAnsi="宋体" w:eastAsia="宋体"/>
              </w:rPr>
              <w:t>absences</w:t>
            </w:r>
          </w:p>
        </w:tc>
        <w:tc>
          <w:tcPr>
            <w:tcW w:type="dxa" w:w="4320"/>
          </w:tcPr>
          <w:p>
            <w:pPr>
              <w:jc w:val="center"/>
            </w:pPr>
            <w:r>
              <w:rPr>
                <w:rFonts w:ascii="宋体" w:hAnsi="宋体" w:eastAsia="宋体"/>
              </w:rPr>
              <w:t>0.0207</w:t>
            </w:r>
          </w:p>
        </w:tc>
      </w:tr>
      <w:tr>
        <w:tc>
          <w:tcPr>
            <w:tcW w:type="dxa" w:w="4320"/>
          </w:tcPr>
          <w:p>
            <w:pPr>
              <w:jc w:val="center"/>
            </w:pPr>
            <w:r>
              <w:rPr>
                <w:rFonts w:ascii="宋体" w:hAnsi="宋体" w:eastAsia="宋体"/>
              </w:rPr>
              <w:t>school_MS</w:t>
            </w:r>
          </w:p>
        </w:tc>
        <w:tc>
          <w:tcPr>
            <w:tcW w:type="dxa" w:w="4320"/>
          </w:tcPr>
          <w:p>
            <w:pPr>
              <w:jc w:val="center"/>
            </w:pPr>
            <w:r>
              <w:rPr>
                <w:rFonts w:ascii="宋体" w:hAnsi="宋体" w:eastAsia="宋体"/>
              </w:rPr>
              <w:t>0.0189</w:t>
            </w:r>
          </w:p>
        </w:tc>
      </w:tr>
      <w:tr>
        <w:tc>
          <w:tcPr>
            <w:tcW w:type="dxa" w:w="4320"/>
          </w:tcPr>
          <w:p>
            <w:pPr>
              <w:jc w:val="center"/>
            </w:pPr>
            <w:r>
              <w:rPr>
                <w:rFonts w:ascii="宋体" w:hAnsi="宋体" w:eastAsia="宋体"/>
              </w:rPr>
              <w:t>Mjob_teacher</w:t>
            </w:r>
          </w:p>
        </w:tc>
        <w:tc>
          <w:tcPr>
            <w:tcW w:type="dxa" w:w="4320"/>
          </w:tcPr>
          <w:p>
            <w:pPr>
              <w:jc w:val="center"/>
            </w:pPr>
            <w:r>
              <w:rPr>
                <w:rFonts w:ascii="宋体" w:hAnsi="宋体" w:eastAsia="宋体"/>
              </w:rPr>
              <w:t>0.0187</w:t>
            </w:r>
          </w:p>
        </w:tc>
      </w:tr>
      <w:tr>
        <w:tc>
          <w:tcPr>
            <w:tcW w:type="dxa" w:w="4320"/>
          </w:tcPr>
          <w:p>
            <w:pPr>
              <w:jc w:val="center"/>
            </w:pPr>
            <w:r>
              <w:rPr>
                <w:rFonts w:ascii="宋体" w:hAnsi="宋体" w:eastAsia="宋体"/>
              </w:rPr>
              <w:t>famsize_LE3</w:t>
            </w:r>
          </w:p>
        </w:tc>
        <w:tc>
          <w:tcPr>
            <w:tcW w:type="dxa" w:w="4320"/>
          </w:tcPr>
          <w:p>
            <w:pPr>
              <w:jc w:val="center"/>
            </w:pPr>
            <w:r>
              <w:rPr>
                <w:rFonts w:ascii="宋体" w:hAnsi="宋体" w:eastAsia="宋体"/>
              </w:rPr>
              <w:t>0.0165</w:t>
            </w:r>
          </w:p>
        </w:tc>
      </w:tr>
      <w:tr>
        <w:tc>
          <w:tcPr>
            <w:tcW w:type="dxa" w:w="4320"/>
          </w:tcPr>
          <w:p>
            <w:pPr>
              <w:jc w:val="center"/>
            </w:pPr>
            <w:r>
              <w:rPr>
                <w:rFonts w:ascii="宋体" w:hAnsi="宋体" w:eastAsia="宋体"/>
              </w:rPr>
              <w:t>studytime</w:t>
            </w:r>
          </w:p>
        </w:tc>
        <w:tc>
          <w:tcPr>
            <w:tcW w:type="dxa" w:w="4320"/>
          </w:tcPr>
          <w:p>
            <w:pPr>
              <w:jc w:val="center"/>
            </w:pPr>
            <w:r>
              <w:rPr>
                <w:rFonts w:ascii="宋体" w:hAnsi="宋体" w:eastAsia="宋体"/>
              </w:rPr>
              <w:t>0.0165</w:t>
            </w:r>
          </w:p>
        </w:tc>
      </w:tr>
      <w:tr>
        <w:tc>
          <w:tcPr>
            <w:tcW w:type="dxa" w:w="4320"/>
          </w:tcPr>
          <w:p>
            <w:pPr>
              <w:jc w:val="center"/>
            </w:pPr>
            <w:r>
              <w:rPr>
                <w:rFonts w:ascii="宋体" w:hAnsi="宋体" w:eastAsia="宋体"/>
              </w:rPr>
              <w:t>Dalc</w:t>
            </w:r>
          </w:p>
        </w:tc>
        <w:tc>
          <w:tcPr>
            <w:tcW w:type="dxa" w:w="4320"/>
          </w:tcPr>
          <w:p>
            <w:pPr>
              <w:jc w:val="center"/>
            </w:pPr>
            <w:r>
              <w:rPr>
                <w:rFonts w:ascii="宋体" w:hAnsi="宋体" w:eastAsia="宋体"/>
              </w:rPr>
              <w:t>0.0163</w:t>
            </w:r>
          </w:p>
        </w:tc>
      </w:tr>
    </w:tbl>
    <w:p>
      <w:r>
        <w:rPr>
          <w:rFonts w:ascii="黑体" w:hAnsi="黑体" w:eastAsia="黑体"/>
          <w:b/>
          <w:sz w:val="30"/>
        </w:rPr>
        <w:t>6 个性化学习路径推荐机制</w:t>
      </w:r>
    </w:p>
    <w:p>
      <w:pPr>
        <w:spacing w:line="360" w:lineRule="auto" w:after="120"/>
        <w:ind w:firstLine="420"/>
      </w:pPr>
      <w:r>
        <w:t>在推荐设计上，本文不把预测值作为最终评价，而把它作为教学分层触发信号。根据预测成绩 \(\hat{y}\) 将学生划分为四类路径：</w:t>
      </w:r>
    </w:p>
    <w:p>
      <w:pPr>
        <w:spacing w:line="360" w:lineRule="auto" w:after="120"/>
        <w:ind w:firstLine="420"/>
      </w:pPr>
      <w:r>
        <w:t>\[</w:t>
      </w:r>
    </w:p>
    <w:p>
      <w:pPr>
        <w:spacing w:line="360" w:lineRule="auto" w:after="120"/>
        <w:ind w:firstLine="420"/>
      </w:pPr>
      <w:r>
        <w:t>R(\hat{y})=</w:t>
      </w:r>
    </w:p>
    <w:p>
      <w:pPr>
        <w:spacing w:line="360" w:lineRule="auto" w:after="120"/>
        <w:ind w:firstLine="420"/>
      </w:pPr>
      <w:r>
        <w:t>\begin{cases}</w:t>
      </w:r>
    </w:p>
    <w:p>
      <w:pPr>
        <w:spacing w:line="360" w:lineRule="auto" w:after="120"/>
        <w:ind w:firstLine="420"/>
      </w:pPr>
      <w:r>
        <w:t>R_1, &amp; \hat{y}&lt;10 \\</w:t>
      </w:r>
    </w:p>
    <w:p>
      <w:pPr>
        <w:spacing w:line="360" w:lineRule="auto" w:after="120"/>
        <w:ind w:firstLine="420"/>
      </w:pPr>
      <w:r>
        <w:t>R_2, &amp; 10\le \hat{y}&lt;14 \\</w:t>
      </w:r>
    </w:p>
    <w:p>
      <w:pPr>
        <w:spacing w:line="360" w:lineRule="auto" w:after="120"/>
        <w:ind w:firstLine="420"/>
      </w:pPr>
      <w:r>
        <w:t>R_3, &amp; 14\le \hat{y}&lt;17 \\</w:t>
      </w:r>
    </w:p>
    <w:p>
      <w:pPr>
        <w:spacing w:line="360" w:lineRule="auto" w:after="120"/>
        <w:ind w:firstLine="420"/>
      </w:pPr>
      <w:r>
        <w:t>R_4, &amp; \hat{y}\ge17</w:t>
      </w:r>
    </w:p>
    <w:p>
      <w:pPr>
        <w:spacing w:line="360" w:lineRule="auto" w:after="120"/>
        <w:ind w:firstLine="420"/>
      </w:pPr>
      <w:r>
        <w:t>\end{cases}</w:t>
      </w:r>
    </w:p>
    <w:p>
      <w:pPr>
        <w:spacing w:line="360" w:lineRule="auto" w:after="120"/>
        <w:ind w:firstLine="420"/>
      </w:pPr>
      <w:r>
        <w:t>\]</w:t>
      </w:r>
    </w:p>
    <w:p>
      <w:pPr>
        <w:spacing w:line="360" w:lineRule="auto" w:after="120"/>
        <w:ind w:firstLine="420"/>
      </w:pPr>
      <w:r>
        <w:t>其中，</w:t>
      </w:r>
      <w:r>
        <w:rPr>
          <w:rFonts w:ascii="Consolas" w:hAnsi="Consolas" w:eastAsia="Consolas"/>
        </w:rPr>
        <w:t>R1</w:t>
      </w:r>
      <w:r>
        <w:t xml:space="preserve"> 面向基础薄弱学生，强调知识补齐、作业陪练和节奏管理；</w:t>
      </w:r>
      <w:r>
        <w:rPr>
          <w:rFonts w:ascii="Consolas" w:hAnsi="Consolas" w:eastAsia="Consolas"/>
        </w:rPr>
        <w:t>R2</w:t>
      </w:r>
      <w:r>
        <w:t xml:space="preserve"> 面向中等稳定群体，强调错题循环与专题强化；</w:t>
      </w:r>
      <w:r>
        <w:rPr>
          <w:rFonts w:ascii="Consolas" w:hAnsi="Consolas" w:eastAsia="Consolas"/>
        </w:rPr>
        <w:t>R3</w:t>
      </w:r>
      <w:r>
        <w:t xml:space="preserve"> 面向较高水平学生，强调综合题组与项目化任务；</w:t>
      </w:r>
      <w:r>
        <w:rPr>
          <w:rFonts w:ascii="Consolas" w:hAnsi="Consolas" w:eastAsia="Consolas"/>
        </w:rPr>
        <w:t>R4</w:t>
      </w:r>
      <w:r>
        <w:t xml:space="preserve"> 面向高水平学生，强调挑战任务、竞赛题和同伴辅导。这样的分层并非固定标签，而是可随周度数据更新而动态调整。</w:t>
      </w:r>
    </w:p>
    <w:p>
      <w:pPr>
        <w:spacing w:line="360" w:lineRule="auto" w:after="120"/>
        <w:ind w:firstLine="420"/>
      </w:pPr>
      <w:r>
        <w:t>**表3 测试集样本推荐示例**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rPr>
              <w:t>学生ID</w:t>
            </w:r>
          </w:p>
        </w:tc>
        <w:tc>
          <w:tcPr>
            <w:tcW w:type="dxa" w:w="1728"/>
          </w:tcPr>
          <w:p>
            <w:pPr>
              <w:jc w:val="center"/>
            </w:pPr>
            <w:r>
              <w:rPr>
                <w:rFonts w:ascii="宋体" w:hAnsi="宋体" w:eastAsia="宋体"/>
                <w:b/>
              </w:rPr>
              <w:t>真实值</w:t>
            </w:r>
          </w:p>
        </w:tc>
        <w:tc>
          <w:tcPr>
            <w:tcW w:type="dxa" w:w="1728"/>
          </w:tcPr>
          <w:p>
            <w:pPr>
              <w:jc w:val="center"/>
            </w:pPr>
            <w:r>
              <w:rPr>
                <w:rFonts w:ascii="宋体" w:hAnsi="宋体" w:eastAsia="宋体"/>
                <w:b/>
              </w:rPr>
              <w:t>预测值</w:t>
            </w:r>
          </w:p>
        </w:tc>
        <w:tc>
          <w:tcPr>
            <w:tcW w:type="dxa" w:w="1728"/>
          </w:tcPr>
          <w:p>
            <w:pPr>
              <w:jc w:val="center"/>
            </w:pPr>
            <w:r>
              <w:rPr>
                <w:rFonts w:ascii="宋体" w:hAnsi="宋体" w:eastAsia="宋体"/>
                <w:b/>
              </w:rPr>
              <w:t>误差</w:t>
            </w:r>
          </w:p>
        </w:tc>
        <w:tc>
          <w:tcPr>
            <w:tcW w:type="dxa" w:w="1728"/>
          </w:tcPr>
          <w:p>
            <w:pPr>
              <w:jc w:val="center"/>
            </w:pPr>
            <w:r>
              <w:rPr>
                <w:rFonts w:ascii="宋体" w:hAnsi="宋体" w:eastAsia="宋体"/>
                <w:b/>
              </w:rPr>
              <w:t>推荐路径</w:t>
            </w:r>
          </w:p>
        </w:tc>
      </w:tr>
      <w:tr>
        <w:tc>
          <w:tcPr>
            <w:tcW w:type="dxa" w:w="1728"/>
          </w:tcPr>
          <w:p>
            <w:pPr>
              <w:jc w:val="center"/>
            </w:pPr>
            <w:r>
              <w:rPr>
                <w:rFonts w:ascii="宋体" w:hAnsi="宋体" w:eastAsia="宋体"/>
              </w:rPr>
              <w:t>S001</w:t>
            </w:r>
          </w:p>
        </w:tc>
        <w:tc>
          <w:tcPr>
            <w:tcW w:type="dxa" w:w="1728"/>
          </w:tcPr>
          <w:p>
            <w:pPr>
              <w:jc w:val="center"/>
            </w:pPr>
            <w:r>
              <w:rPr>
                <w:rFonts w:ascii="宋体" w:hAnsi="宋体" w:eastAsia="宋体"/>
              </w:rPr>
              <w:t>11</w:t>
            </w:r>
          </w:p>
        </w:tc>
        <w:tc>
          <w:tcPr>
            <w:tcW w:type="dxa" w:w="1728"/>
          </w:tcPr>
          <w:p>
            <w:pPr>
              <w:jc w:val="center"/>
            </w:pPr>
            <w:r>
              <w:rPr>
                <w:rFonts w:ascii="宋体" w:hAnsi="宋体" w:eastAsia="宋体"/>
              </w:rPr>
              <w:t>9.842</w:t>
            </w:r>
          </w:p>
        </w:tc>
        <w:tc>
          <w:tcPr>
            <w:tcW w:type="dxa" w:w="1728"/>
          </w:tcPr>
          <w:p>
            <w:pPr>
              <w:jc w:val="center"/>
            </w:pPr>
            <w:r>
              <w:rPr>
                <w:rFonts w:ascii="宋体" w:hAnsi="宋体" w:eastAsia="宋体"/>
              </w:rPr>
              <w:t>-1.158</w:t>
            </w:r>
          </w:p>
        </w:tc>
        <w:tc>
          <w:tcPr>
            <w:tcW w:type="dxa" w:w="1728"/>
          </w:tcPr>
          <w:p>
            <w:pPr>
              <w:jc w:val="center"/>
            </w:pPr>
            <w:r>
              <w:rPr>
                <w:rFonts w:ascii="宋体" w:hAnsi="宋体" w:eastAsia="宋体"/>
              </w:rPr>
              <w:t>基础提升路径</w:t>
            </w:r>
          </w:p>
        </w:tc>
      </w:tr>
      <w:tr>
        <w:tc>
          <w:tcPr>
            <w:tcW w:type="dxa" w:w="1728"/>
          </w:tcPr>
          <w:p>
            <w:pPr>
              <w:jc w:val="center"/>
            </w:pPr>
            <w:r>
              <w:rPr>
                <w:rFonts w:ascii="宋体" w:hAnsi="宋体" w:eastAsia="宋体"/>
              </w:rPr>
              <w:t>S003</w:t>
            </w:r>
          </w:p>
        </w:tc>
        <w:tc>
          <w:tcPr>
            <w:tcW w:type="dxa" w:w="1728"/>
          </w:tcPr>
          <w:p>
            <w:pPr>
              <w:jc w:val="center"/>
            </w:pPr>
            <w:r>
              <w:rPr>
                <w:rFonts w:ascii="宋体" w:hAnsi="宋体" w:eastAsia="宋体"/>
              </w:rPr>
              <w:t>15</w:t>
            </w:r>
          </w:p>
        </w:tc>
        <w:tc>
          <w:tcPr>
            <w:tcW w:type="dxa" w:w="1728"/>
          </w:tcPr>
          <w:p>
            <w:pPr>
              <w:jc w:val="center"/>
            </w:pPr>
            <w:r>
              <w:rPr>
                <w:rFonts w:ascii="宋体" w:hAnsi="宋体" w:eastAsia="宋体"/>
              </w:rPr>
              <w:t>14.756</w:t>
            </w:r>
          </w:p>
        </w:tc>
        <w:tc>
          <w:tcPr>
            <w:tcW w:type="dxa" w:w="1728"/>
          </w:tcPr>
          <w:p>
            <w:pPr>
              <w:jc w:val="center"/>
            </w:pPr>
            <w:r>
              <w:rPr>
                <w:rFonts w:ascii="宋体" w:hAnsi="宋体" w:eastAsia="宋体"/>
              </w:rPr>
              <w:t>-0.244</w:t>
            </w:r>
          </w:p>
        </w:tc>
        <w:tc>
          <w:tcPr>
            <w:tcW w:type="dxa" w:w="1728"/>
          </w:tcPr>
          <w:p>
            <w:pPr>
              <w:jc w:val="center"/>
            </w:pPr>
            <w:r>
              <w:rPr>
                <w:rFonts w:ascii="宋体" w:hAnsi="宋体" w:eastAsia="宋体"/>
              </w:rPr>
              <w:t>进阶拓展路径</w:t>
            </w:r>
          </w:p>
        </w:tc>
      </w:tr>
      <w:tr>
        <w:tc>
          <w:tcPr>
            <w:tcW w:type="dxa" w:w="1728"/>
          </w:tcPr>
          <w:p>
            <w:pPr>
              <w:jc w:val="center"/>
            </w:pPr>
            <w:r>
              <w:rPr>
                <w:rFonts w:ascii="宋体" w:hAnsi="宋体" w:eastAsia="宋体"/>
              </w:rPr>
              <w:t>S006</w:t>
            </w:r>
          </w:p>
        </w:tc>
        <w:tc>
          <w:tcPr>
            <w:tcW w:type="dxa" w:w="1728"/>
          </w:tcPr>
          <w:p>
            <w:pPr>
              <w:jc w:val="center"/>
            </w:pPr>
            <w:r>
              <w:rPr>
                <w:rFonts w:ascii="宋体" w:hAnsi="宋体" w:eastAsia="宋体"/>
              </w:rPr>
              <w:t>13</w:t>
            </w:r>
          </w:p>
        </w:tc>
        <w:tc>
          <w:tcPr>
            <w:tcW w:type="dxa" w:w="1728"/>
          </w:tcPr>
          <w:p>
            <w:pPr>
              <w:jc w:val="center"/>
            </w:pPr>
            <w:r>
              <w:rPr>
                <w:rFonts w:ascii="宋体" w:hAnsi="宋体" w:eastAsia="宋体"/>
              </w:rPr>
              <w:t>12.920</w:t>
            </w:r>
          </w:p>
        </w:tc>
        <w:tc>
          <w:tcPr>
            <w:tcW w:type="dxa" w:w="1728"/>
          </w:tcPr>
          <w:p>
            <w:pPr>
              <w:jc w:val="center"/>
            </w:pPr>
            <w:r>
              <w:rPr>
                <w:rFonts w:ascii="宋体" w:hAnsi="宋体" w:eastAsia="宋体"/>
              </w:rPr>
              <w:t>-0.080</w:t>
            </w:r>
          </w:p>
        </w:tc>
        <w:tc>
          <w:tcPr>
            <w:tcW w:type="dxa" w:w="1728"/>
          </w:tcPr>
          <w:p>
            <w:pPr>
              <w:jc w:val="center"/>
            </w:pPr>
            <w:r>
              <w:rPr>
                <w:rFonts w:ascii="宋体" w:hAnsi="宋体" w:eastAsia="宋体"/>
              </w:rPr>
              <w:t>巩固强化路径</w:t>
            </w:r>
          </w:p>
        </w:tc>
      </w:tr>
      <w:tr>
        <w:tc>
          <w:tcPr>
            <w:tcW w:type="dxa" w:w="1728"/>
          </w:tcPr>
          <w:p>
            <w:pPr>
              <w:jc w:val="center"/>
            </w:pPr>
            <w:r>
              <w:rPr>
                <w:rFonts w:ascii="宋体" w:hAnsi="宋体" w:eastAsia="宋体"/>
              </w:rPr>
              <w:t>S009</w:t>
            </w:r>
          </w:p>
        </w:tc>
        <w:tc>
          <w:tcPr>
            <w:tcW w:type="dxa" w:w="1728"/>
          </w:tcPr>
          <w:p>
            <w:pPr>
              <w:jc w:val="center"/>
            </w:pPr>
            <w:r>
              <w:rPr>
                <w:rFonts w:ascii="宋体" w:hAnsi="宋体" w:eastAsia="宋体"/>
              </w:rPr>
              <w:t>13</w:t>
            </w:r>
          </w:p>
        </w:tc>
        <w:tc>
          <w:tcPr>
            <w:tcW w:type="dxa" w:w="1728"/>
          </w:tcPr>
          <w:p>
            <w:pPr>
              <w:jc w:val="center"/>
            </w:pPr>
            <w:r>
              <w:rPr>
                <w:rFonts w:ascii="宋体" w:hAnsi="宋体" w:eastAsia="宋体"/>
              </w:rPr>
              <w:t>14.777</w:t>
            </w:r>
          </w:p>
        </w:tc>
        <w:tc>
          <w:tcPr>
            <w:tcW w:type="dxa" w:w="1728"/>
          </w:tcPr>
          <w:p>
            <w:pPr>
              <w:jc w:val="center"/>
            </w:pPr>
            <w:r>
              <w:rPr>
                <w:rFonts w:ascii="宋体" w:hAnsi="宋体" w:eastAsia="宋体"/>
              </w:rPr>
              <w:t>1.777</w:t>
            </w:r>
          </w:p>
        </w:tc>
        <w:tc>
          <w:tcPr>
            <w:tcW w:type="dxa" w:w="1728"/>
          </w:tcPr>
          <w:p>
            <w:pPr>
              <w:jc w:val="center"/>
            </w:pPr>
            <w:r>
              <w:rPr>
                <w:rFonts w:ascii="宋体" w:hAnsi="宋体" w:eastAsia="宋体"/>
              </w:rPr>
              <w:t>进阶拓展路径</w:t>
            </w:r>
          </w:p>
        </w:tc>
      </w:tr>
    </w:tbl>
    <w:p>
      <w:pPr>
        <w:spacing w:line="360" w:lineRule="auto" w:after="120"/>
        <w:ind w:firstLine="420"/>
      </w:pPr>
      <w:r>
        <w:t>在课堂实施层面，推荐路径可以映射为“统一讲授+分层任务”的组织方式。教师先完成核心知识讲解，再按照路径发放不同任务单与反馈策略。这样既保持了教学目标一致性，又兼顾了学生差异，能在不显著增加总课时的前提下提升教学针对性。</w:t>
      </w:r>
    </w:p>
    <w:p>
      <w:r>
        <w:rPr>
          <w:rFonts w:ascii="黑体" w:hAnsi="黑体" w:eastAsia="黑体"/>
          <w:b/>
          <w:sz w:val="30"/>
        </w:rPr>
        <w:t>7 讨论</w:t>
      </w:r>
    </w:p>
    <w:p>
      <w:pPr>
        <w:spacing w:line="360" w:lineRule="auto" w:after="120"/>
        <w:ind w:firstLine="420"/>
      </w:pPr>
      <w:r>
        <w:t>本研究的主要价值在于验证了真实教育数据中集成学习方法的有效性，并将预测结果与教学推荐建立了直接联系。与只追求算法精度的研究相比，本文更强调结果能否被教学过程吸收。测试结果表明，即使不使用中间成绩变量，模型仍具有可用预测能力，这使其更接近学期中预警的真实应用场景。</w:t>
      </w:r>
    </w:p>
    <w:p>
      <w:pPr>
        <w:spacing w:line="360" w:lineRule="auto" w:after="120"/>
        <w:ind w:firstLine="420"/>
      </w:pPr>
      <w:r>
        <w:t>当然，研究仍有边界。首先，数据来自葡萄牙学校，跨文化、跨课程体系迁移仍需校准。其次，当前特征主要是静态或阶段汇总变量，尚未充分纳入时序学习轨迹。再次，推荐策略的真实因果收益还需要通过对照实验进一步验证。此外，公平性与隐私治理是教育场景不可回避的问题，任何模型部署都应坚持“辅助决策而非替代判断”的原则，并建立分组误差监控、权限控制与人机协同复核机制。</w:t>
      </w:r>
    </w:p>
    <w:p>
      <w:pPr>
        <w:spacing w:line="360" w:lineRule="auto" w:after="120"/>
        <w:ind w:firstLine="420"/>
      </w:pPr>
      <w:r>
        <w:t>从应用角度看，模型的真正价值不在于一次预测，而在于持续迭代。若学校能够建立稳定的数据采集、教研协作和月度复盘机制，预测系统就能从“项目工具”变成“教学基础设施”。</w:t>
      </w:r>
    </w:p>
    <w:p>
      <w:r>
        <w:rPr>
          <w:rFonts w:ascii="黑体" w:hAnsi="黑体" w:eastAsia="黑体"/>
          <w:b/>
          <w:sz w:val="30"/>
        </w:rPr>
        <w:t>8 结论与未来工作</w:t>
      </w:r>
    </w:p>
    <w:p>
      <w:pPr>
        <w:spacing w:line="360" w:lineRule="auto" w:after="120"/>
        <w:ind w:firstLine="420"/>
      </w:pPr>
      <w:r>
        <w:t>本文基于真实公开教育数据构建了学习效果预测与个性化路径推荐的一体化框架。实验结果表明，XGBoost 在四类对比模型中表现最优，并在交叉验证与独立测试中保持一致趋势，说明其在教育结构化数据场景下具有较好的精度与稳定性。研究进一步表明，历史挂科、缺勤、学习支持与学习投入等过程特征能够提供有效预测信号，具备学期中早期识别价值。</w:t>
      </w:r>
    </w:p>
    <w:p>
      <w:pPr>
        <w:spacing w:line="360" w:lineRule="auto" w:after="120"/>
        <w:ind w:firstLine="420"/>
      </w:pPr>
      <w:r>
        <w:t>在应用层面，本文将预测结果转化为四层学习路径，形成了可执行的教学干预框架。未来研究可在三个方向继续推进：一是引入时序行为建模提升动态预测能力；二是增加不确定性估计与公平性评估；三是通过准实验或对照实验验证推荐策略对真实学习增益的因果效果。通过“预测—推荐—评估—迭代”闭环，教育数据挖掘才能更稳定地服务课堂改进。</w:t>
      </w:r>
    </w:p>
    <w:p>
      <w:r>
        <w:rPr>
          <w:rFonts w:ascii="黑体" w:hAnsi="黑体" w:eastAsia="黑体"/>
          <w:b/>
          <w:sz w:val="30"/>
        </w:rPr>
        <w:t>9 教学干预效果量化设计</w:t>
      </w:r>
    </w:p>
    <w:p>
      <w:pPr>
        <w:spacing w:line="360" w:lineRule="auto" w:after="120"/>
        <w:ind w:firstLine="420"/>
      </w:pPr>
      <w:r>
        <w:t>为了使推荐系统不仅“能预测”，也“能证明有效”，本文补充教学干预量化评估方案。评估不应只比较分数高低，而应同时观察过程改进、结果变化和学习体验变化。实际执行中可采用平行班对照思路，在教学进度、教师资历和考试难度尽可能一致的前提下，设置实验班与对照班，观察周期建议不少于八周，以覆盖至少两次阶段测评。</w:t>
      </w:r>
    </w:p>
    <w:p>
      <w:pPr>
        <w:spacing w:line="360" w:lineRule="auto" w:after="120"/>
        <w:ind w:firstLine="420"/>
      </w:pPr>
      <w:r>
        <w:t>量化指标建议分为三个层面。过程层面关注作业完成率、缺勤率、课堂互动频次和学习时长达标率；结果层面关注阶段测验均分、低分段比例和个体提升幅度；体验层面关注学习自我效能感、学习压力与对推荐可接受度。统计分析可采用配对检验或非参数检验，并报告效应量，避免只看显著性而忽视教育实际意义。若模型精度稳定但教学指标未改善，则问题可能在执行链路而非算法，需要优先优化任务模板与教师支持机制。</w:t>
      </w:r>
    </w:p>
    <w:p>
      <w:pPr>
        <w:spacing w:line="360" w:lineRule="auto" w:after="120"/>
        <w:ind w:firstLine="420"/>
      </w:pPr>
      <w:r>
        <w:t>为保证系统长期有效，建议建立“月度轻量复盘+学期全量复盘”的治理节奏。月度复盘重点看路径分布漂移、分组误差差异和执行率，学期复盘则决定是否重训模型、调整分层阈值与更新任务库。通过这一机制，系统可以在教学实践中持续校准，而不是停留在一次性实验结果。</w:t>
      </w:r>
    </w:p>
    <w:p>
      <w:r>
        <w:rPr>
          <w:rFonts w:ascii="黑体" w:hAnsi="黑体" w:eastAsia="黑体"/>
          <w:b/>
          <w:sz w:val="30"/>
        </w:rPr>
        <w:t>10 研究边界与可迁移性说明</w:t>
      </w:r>
    </w:p>
    <w:p>
      <w:pPr>
        <w:spacing w:line="360" w:lineRule="auto" w:after="120"/>
        <w:ind w:firstLine="420"/>
      </w:pPr>
      <w:r>
        <w:t>本文结论主要适用于中等规模、结构化特征主导、目标为成绩回归与分层推荐的教育场景。对于评价方式高度项目化的课程、样本规模极小或数据采集不连续的场景，模型结构和推荐规则都需要重新设计。迁移到新学校时，建议先进行小规模试运行，观察误差结构与路径分布，再逐步扩展到年级和校级范围。</w:t>
      </w:r>
    </w:p>
    <w:p>
      <w:pPr>
        <w:spacing w:line="360" w:lineRule="auto" w:after="120"/>
        <w:ind w:firstLine="420"/>
      </w:pPr>
      <w:r>
        <w:t>此外，模型迁移成功不仅取决于算法本身，也取决于学校的数据治理能力、教师协同机制与执行节奏。如果缺乏稳定的数据流程和教研支持，即使模型在技术上可行，也难以形成持续教学价值。因此，可迁移性应被理解为“技术条件+组织条件”共同满足后的系统能力。</w:t>
      </w:r>
    </w:p>
    <w:p>
      <w:r>
        <w:rPr>
          <w:rFonts w:ascii="黑体" w:hAnsi="黑体" w:eastAsia="黑体"/>
          <w:b/>
          <w:sz w:val="30"/>
        </w:rPr>
        <w:t>11 结语</w:t>
      </w:r>
    </w:p>
    <w:p>
      <w:pPr>
        <w:spacing w:line="360" w:lineRule="auto" w:after="120"/>
        <w:ind w:firstLine="420"/>
      </w:pPr>
      <w:r>
        <w:t>教育机器学习的核心价值不在于替代教师，而在于帮助教师更早识别风险、更精准分配支持资源。本文通过真实数据实证验证了集成学习在学习效果预测中的可行性，并通过分层推荐机制将模型输出转化为可执行教学动作。未来，随着学校数据治理能力和教研协同机制持续完善，预测系统有望从单次项目工具升级为稳定运行的教学支持基础设施。只有把算法能力、教学经验与制度保障协同起来，数据驱动的教育改进才能形成长期价值。</w:t>
      </w:r>
    </w:p>
    <w:p>
      <w:r>
        <w:rPr>
          <w:rFonts w:ascii="黑体" w:hAnsi="黑体" w:eastAsia="黑体"/>
          <w:b/>
          <w:sz w:val="30"/>
        </w:rPr>
        <w:t>12 深化讨论与实践展望</w:t>
      </w:r>
    </w:p>
    <w:p>
      <w:pPr>
        <w:spacing w:line="360" w:lineRule="auto" w:after="120"/>
        <w:ind w:firstLine="420"/>
      </w:pPr>
      <w:r>
        <w:t>为了避免研究停留在“模型有效”的技术层面，本文有必要进一步讨论教育场景中经常被忽略但极其关键的三个问题，即教师如何真正使用模型、学生如何在推荐中保持主体性、以及学校如何将系统纳入长期治理。首先，从教师使用角度看，预测系统最容易出现的误区是把分数当成结论，而忽视其本质是“概率化信号”。在真实课堂中，教师面对的是有情绪、有动机、有家庭背景差异的学生个体，任何模型都不可能完整覆盖这些复杂因素。因此，系统界面和使用流程应强调“风险提示+原因线索+可选动作”，而不是仅输出一个静态分层标签。只有当教师可以在系统中看到学生最近阶段的行为变化轨迹、关键影响特征和建议任务，并且能够结合课堂观察进行修正，模型才会从“看起来先进”转化为“用起来有用”。</w:t>
      </w:r>
    </w:p>
    <w:p>
      <w:pPr>
        <w:spacing w:line="360" w:lineRule="auto" w:after="120"/>
        <w:ind w:firstLine="420"/>
      </w:pPr>
      <w:r>
        <w:t>其次，从学生主体性角度看，推荐系统必须避免把个体发展路径固化为“低、中、高”三个简单等级。在教育实践中，学生状态具有波动性和可塑性，尤其在关键考试前后、课程难度变化阶段、家庭环境变化时期，学习表现会出现明显起伏。如果系统对这种波动缺乏敏感性，就可能把阶段性低谷误判为稳定低水平，从而产生不必要的心理负担。为此，建议在推荐文本中使用“当前阶段建议”“本周可达目标”“下一步可选择路径”这样的表达，帮助学生把系统反馈理解为可调整的成长建议，而非对能力的永久判定。同时，系统应允许学生对推荐结果进行反馈，例如标记“任务难度过高”“近期家庭原因导致时间不足”等，让算法结果与学生真实处境形成双向沟通。这样的设计不仅能提升推荐准确性，也能保护学习自尊和学习动机。</w:t>
      </w:r>
    </w:p>
    <w:p>
      <w:pPr>
        <w:spacing w:line="360" w:lineRule="auto" w:after="120"/>
        <w:ind w:firstLine="420"/>
      </w:pPr>
      <w:r>
        <w:t>再次，从学校治理角度看，预测与推荐系统要形成长期价值，必须嵌入日常教研机制，而不能被当作技术团队的独立项目。实践中很多学校在试点阶段效果明显，但一旦项目负责人变动、学期任务增加或平台维护中断，系统很快失去活力，根本原因在于缺乏制度化流程。较为稳健的做法是将系统运行纳入年级例会和教研组复盘：每月固定一次查看路径分布变化、风险学生数量变化和干预执行情况，每学期固定一次评估模型误差、教学增益和公平性指标。通过“固定节奏+固定角色+固定数据口径”，学校可以把数据驱动改进变成组织常规，而不是临时活动。此外，管理层还应明确模型结果的使用边界，禁止把预测结果直接用于行政评价和惩戒决策，确保系统始终服务于支持与改进，而非排名与压力传导。</w:t>
      </w:r>
    </w:p>
    <w:p>
      <w:pPr>
        <w:spacing w:line="360" w:lineRule="auto" w:after="120"/>
        <w:ind w:firstLine="420"/>
      </w:pPr>
      <w:r>
        <w:t>在方法演进方面，本文当前框架仍属于结构化数据驱动的回归预测范式，适合现阶段大多数学校的数据条件。未来若学校能够持续积累更细粒度的时序学习数据，例如按周记录的作业提交节奏、课堂互动序列、知识点掌握演化曲线，那么可以在现有框架上逐步引入时序特征工程或轻量时序模型，实现从“阶段预测”走向“动态预测”。但这种升级应遵循渐进原则，而不是一次性替换全部方案。原因在于教育系统的核心目标是稳定服务教学，不是追求模型复杂度。对于多数学校而言，先把当前可解释、可维护的模型长期跑稳，再逐步增加复杂能力，往往比直接引入高复杂模型更符合实际收益。</w:t>
      </w:r>
    </w:p>
    <w:p>
      <w:pPr>
        <w:spacing w:line="360" w:lineRule="auto" w:after="120"/>
        <w:ind w:firstLine="420"/>
      </w:pPr>
      <w:r>
        <w:t>从研究方法论角度看，今后最值得加强的是“干预效果因果识别”。目前很多研究能够证明模型预测准确，却难以回答“推荐是否真的带来学习改进”。要解决这个问题，可以在学校可接受范围内采用分阶段实施与对照设计，例如先在部分班级使用路径推荐，再与未使用班级比较阶段成长变化，同时控制教师与课程差异因素。通过这种审慎设计，研究结论将从“相关有效”进一步走向“干预有效”。这不仅能提升论文说服力，也能为学校是否扩大部署提供实证依据。</w:t>
      </w:r>
    </w:p>
    <w:p>
      <w:pPr>
        <w:spacing w:line="360" w:lineRule="auto" w:after="120"/>
        <w:ind w:firstLine="420"/>
      </w:pPr>
      <w:r>
        <w:t>最后，本文认为教育智能化的真正挑战并不是再做一个更高分数的模型，而是建设一个“技术可靠、教学可用、治理可持续”的系统工程。技术可靠意味着数据质量可控、模型误差可监测、系统运行可复现；教学可用意味着教师愿意用、学生能理解、任务能执行；治理可持续意味着有明确制度、有稳定角色、有周期复盘。只有三者同时成立，预测与推荐系统才能超越实验阶段，真正成为支持学生成长的长期能力。也正是在这一意义上，本文工作希望提供的不只是一次模型比较结果，更是一条在真实教育环境中可实践、可迭代、可推广的实施路径。</w:t>
      </w:r>
    </w:p>
    <w:p>
      <w:r>
        <w:rPr>
          <w:rFonts w:ascii="黑体" w:hAnsi="黑体" w:eastAsia="黑体"/>
          <w:b/>
          <w:sz w:val="30"/>
        </w:rPr>
        <w:t>13 模型稳健性与误差来源分析</w:t>
      </w:r>
    </w:p>
    <w:p>
      <w:pPr>
        <w:spacing w:line="360" w:lineRule="auto" w:after="120"/>
        <w:ind w:firstLine="420"/>
      </w:pPr>
      <w:r>
        <w:t>尽管本文主模型在交叉验证与独立测试集中都表现出较好的一致性，但教育场景中的模型评估不能只停留在平均误差指标。平均值能够反映总体效果，却容易掩盖不同学生群体之间的表现差异。以本研究为例，模型在中间成绩段学生上的预测更稳定，而在低分极端样本和行为波动较大的样本上误差更明显，这种结构性误差本身具有重要教育信息。它提示我们，模型并非“无效”，而是在识别高风险群体时应配套更谨慎的解释机制。</w:t>
      </w:r>
    </w:p>
    <w:p>
      <w:pPr>
        <w:spacing w:line="360" w:lineRule="auto" w:after="120"/>
        <w:ind w:firstLine="420"/>
      </w:pPr>
      <w:r>
        <w:t xml:space="preserve">误差来源可以从数据、任务和场景三个层面理解。从数据层面看，学习行为数据存在天然噪声，例如学生短期状态变化、临时性缺勤或家庭事件影响，往往无法在结构化字段中完整体现。从任务层面看，本文刻意剔除了 </w:t>
      </w:r>
      <w:r>
        <w:rPr>
          <w:rFonts w:ascii="Consolas" w:hAnsi="Consolas" w:eastAsia="Consolas"/>
        </w:rPr>
        <w:t>G1</w:t>
      </w:r>
      <w:r>
        <w:t xml:space="preserve"> 与 </w:t>
      </w:r>
      <w:r>
        <w:rPr>
          <w:rFonts w:ascii="Consolas" w:hAnsi="Consolas" w:eastAsia="Consolas"/>
        </w:rPr>
        <w:t>G2</w:t>
      </w:r>
      <w:r>
        <w:t>，增强了前置预警意义，但也降低了可直接利用的强预测信号，导致误差上限相对提高。从场景层面看，期末成绩不仅由行为变量决定，还受到课程难度、教师评价方式和考核节奏影响，这些隐变量无法在当前数据中充分表示。综合来看，误差不是单纯由算法能力不足导致，而是教育系统复杂性在数据中的映射。</w:t>
      </w:r>
    </w:p>
    <w:p>
      <w:pPr>
        <w:spacing w:line="360" w:lineRule="auto" w:after="120"/>
        <w:ind w:firstLine="420"/>
      </w:pPr>
      <w:r>
        <w:t>基于这一认识，模型应用应强调“风险提示”而非“分值定性”。在实践中，建议将预测结果与近期行为变化共同展示，例如同时输出预测值、近四周缺勤变化、作业完成波动和课堂互动变化。当多个信号同时指向风险时，教师应优先介入；当预测风险与课堂观察不一致时，应以人工复核为准。这样的使用方式能够降低误判对学生的潜在影响，也更符合教育决策中的专业伦理。</w:t>
      </w:r>
    </w:p>
    <w:p>
      <w:r>
        <w:rPr>
          <w:rFonts w:ascii="黑体" w:hAnsi="黑体" w:eastAsia="黑体"/>
          <w:b/>
          <w:sz w:val="30"/>
        </w:rPr>
        <w:t>14 系统实现与教学应用流程</w:t>
      </w:r>
    </w:p>
    <w:p>
      <w:pPr>
        <w:spacing w:line="360" w:lineRule="auto" w:after="120"/>
        <w:ind w:firstLine="420"/>
      </w:pPr>
      <w:r>
        <w:t>从工程实现角度看，本文框架可以分为数据层、模型层与应用层三个环节。数据层负责按周汇总学生行为与支持信息，保证字段口径一致和时间戳完整；模型层负责执行预处理、训练、评估和预测输出；应用层负责将预测结果转化为教师可执行的分层任务与辅导建议。三层结构的意义在于把“算法流程”转化为“教学流程”，避免模型只停留在实验脚本中。</w:t>
      </w:r>
    </w:p>
    <w:p>
      <w:pPr>
        <w:spacing w:line="360" w:lineRule="auto" w:after="120"/>
        <w:ind w:firstLine="420"/>
      </w:pPr>
      <w:r>
        <w:t>在教学场景部署时，推荐采用“周更新、月复盘、学期优化”的运行节奏。周更新阶段主要完成新数据接入和路径刷新，帮助教师及时识别需要关注的学生；月复盘阶段重点比较路径分布变化与阶段学习表现，判断推荐是否真实发挥作用；学期优化阶段则根据误差结构、教师反馈和执行效果调整阈值与任务模板。通过这种节奏化管理，系统能够在不增加教师额外负担过多的情况下稳定运行。</w:t>
      </w:r>
    </w:p>
    <w:p>
      <w:pPr>
        <w:spacing w:line="360" w:lineRule="auto" w:after="120"/>
        <w:ind w:firstLine="420"/>
      </w:pPr>
      <w:r>
        <w:t>此外，教学端界面设计应尽量简洁，避免输出过多技术指标。教师真正需要的是“谁需要关注、原因可能是什么、下一步怎么做”。因此界面可优先显示学生当前路径、近期行为变化和建议干预动作，再提供可选的模型细节视图。对学生端而言，反馈语言应强调成长导向，避免标签化表达。这样既能提升系统可用性，也能降低技术系统对教学关系的干扰。</w:t>
      </w:r>
    </w:p>
    <w:p>
      <w:r>
        <w:rPr>
          <w:rFonts w:ascii="黑体" w:hAnsi="黑体" w:eastAsia="黑体"/>
          <w:b/>
          <w:sz w:val="30"/>
        </w:rPr>
        <w:t>15 实践推广条件与组织保障</w:t>
      </w:r>
    </w:p>
    <w:p>
      <w:pPr>
        <w:spacing w:line="360" w:lineRule="auto" w:after="120"/>
        <w:ind w:firstLine="420"/>
      </w:pPr>
      <w:r>
        <w:t>教育场景中的技术落地，最终取决于组织条件而不只是模型性能。即使模型指标较好，如果学校缺乏稳定的数据治理和教研协作机制，系统也很难持续产生价值。结合本研究实践逻辑，推广至少需要三个前提条件：一是数据采集规则清晰且可持续，能够保证关键字段按周期更新；二是教研团队对分层教学有基本共识，愿意围绕推荐结果调整任务设计；三是管理层明确系统定位为教学支持工具，而非行政评价工具，避免目标错位。</w:t>
      </w:r>
    </w:p>
    <w:p>
      <w:pPr>
        <w:spacing w:line="360" w:lineRule="auto" w:after="120"/>
        <w:ind w:firstLine="420"/>
      </w:pPr>
      <w:r>
        <w:t>在组织保障方面，建议由年级组、教研组和技术支持共同组成小型协同机制。年级组负责推动执行节奏和效果复盘，教研组负责维护分层任务模板与学科适配，技术支持负责模型更新与数据质量监控。三方角色明确后，系统运行会更稳定，教师也更容易形成使用习惯。相比一次性大规模上线，小步试点、逐步扩展通常更符合学校实际，能够在较低风险下积累可复制经验。</w:t>
      </w:r>
    </w:p>
    <w:p>
      <w:pPr>
        <w:spacing w:line="360" w:lineRule="auto" w:after="120"/>
        <w:ind w:firstLine="420"/>
      </w:pPr>
      <w:r>
        <w:t>从更长周期看，系统推广的核心不是“让所有学校使用同一个模型”，而是形成一套可迁移的方法框架。不同学校可以在统一流程下调整阈值、任务模板和反馈机制，以适应本地课程结构与学生特征。换句话说，真正可推广的不是某个固定参数，而是“数据治理—模型评估—教学执行—效果复盘”的完整机制。本文的意义也正在于提供这样一条可操作路径，为后续跨校应用和持续优化提供基础。</w:t>
      </w:r>
    </w:p>
    <w:p>
      <w:r>
        <w:rPr>
          <w:rFonts w:ascii="黑体" w:hAnsi="黑体" w:eastAsia="黑体"/>
          <w:b/>
          <w:sz w:val="30"/>
        </w:rPr>
        <w:t>参考文献</w:t>
      </w:r>
    </w:p>
    <w:p>
      <w:pPr>
        <w:spacing w:line="360" w:lineRule="auto" w:after="120"/>
        <w:ind w:firstLine="420"/>
      </w:pPr>
      <w:r>
        <w:t>[1] Romero C, Ventura S. Educational Data Mining: A Review of the State of the Art[J]. IEEE Transactions on Systems, Man, and Cybernetics, Part C, 2010, 40(6): 601-618.</w:t>
      </w:r>
    </w:p>
    <w:p>
      <w:pPr>
        <w:spacing w:line="360" w:lineRule="auto" w:after="120"/>
        <w:ind w:firstLine="420"/>
      </w:pPr>
      <w:r>
        <w:t>[2] Koedinger K R, D’Mello S, McLaughlin E A, et al. Data Mining and Education[J]. WIREs Cognitive Science, 2015, 6(4): 333-353.</w:t>
      </w:r>
    </w:p>
    <w:p>
      <w:pPr>
        <w:spacing w:line="360" w:lineRule="auto" w:after="120"/>
        <w:ind w:firstLine="420"/>
      </w:pPr>
      <w:r>
        <w:t>[3] Chen T, Guestrin C. XGBoost: A Scalable Tree Boosting System[C]//Proceedings of the 22nd ACM SIGKDD International Conference on Knowledge Discovery and Data Mining. 2016: 785-794.</w:t>
      </w:r>
    </w:p>
    <w:p>
      <w:pPr>
        <w:spacing w:line="360" w:lineRule="auto" w:after="120"/>
        <w:ind w:firstLine="420"/>
      </w:pPr>
      <w:r>
        <w:t>[4] Breiman L. Random Forests[J]. Machine Learning, 2001, 45(1): 5-32.</w:t>
      </w:r>
    </w:p>
    <w:p>
      <w:pPr>
        <w:spacing w:line="360" w:lineRule="auto" w:after="120"/>
        <w:ind w:firstLine="420"/>
      </w:pPr>
      <w:r>
        <w:t>[5] Geurts P, Ernst D, Wehenkel L. Extremely Randomized Trees[J]. Machine Learning, 2006, 63(1): 3-42.</w:t>
      </w:r>
    </w:p>
    <w:p>
      <w:pPr>
        <w:spacing w:line="360" w:lineRule="auto" w:after="120"/>
        <w:ind w:firstLine="420"/>
      </w:pPr>
      <w:r>
        <w:t>[6] Cortez P, Silva A M G. Using Data Mining to Predict Secondary School Student Performance[C]//Proceedings of 5th FUture BUsiness TEChnology Conference. 2008: 5-12.</w:t>
      </w:r>
    </w:p>
    <w:p>
      <w:pPr>
        <w:spacing w:line="360" w:lineRule="auto" w:after="120"/>
        <w:ind w:firstLine="420"/>
      </w:pPr>
      <w:r>
        <w:t>[7] UCI Machine Learning Repository. Student Performance Data Set[DB/OL]. https://archive.ics.uci.edu/.</w:t>
      </w:r>
    </w:p>
    <w:p>
      <w:pPr>
        <w:spacing w:line="360" w:lineRule="auto" w:after="120"/>
        <w:ind w:firstLine="420"/>
      </w:pPr>
      <w:r>
        <w:t>[8] James G, Witten D, Hastie T, Tibshirani R. An Introduction to Statistical Learning[M]. New York: Springer, 2013.</w:t>
      </w:r>
    </w:p>
    <w:p>
      <w:pPr>
        <w:spacing w:line="360" w:lineRule="auto" w:after="120"/>
        <w:ind w:firstLine="420"/>
      </w:pPr>
      <w:r>
        <w:t>[9] Hastie T, Tibshirani R, Friedman J. The Elements of Statistical Learning[M]. 2nd ed. New York: Springer, 2009.</w:t>
      </w:r>
    </w:p>
    <w:p>
      <w:pPr>
        <w:spacing w:line="360" w:lineRule="auto" w:after="120"/>
        <w:ind w:firstLine="420"/>
      </w:pPr>
      <w:r>
        <w:t>[10] Kuhn M, Johnson K. Applied Predictive Modeling[M]. New York: Springer, 2013.</w:t>
      </w:r>
    </w:p>
    <w:p>
      <w:pPr>
        <w:spacing w:line="360" w:lineRule="auto" w:after="120"/>
        <w:ind w:firstLine="420"/>
      </w:pPr>
      <w:r>
        <w:t>[11] Baker R S, Inventado P S. Educational Data Mining and Learning Analytics[M]//Learning Analytics. New York: Springer, 2014.</w:t>
      </w:r>
    </w:p>
    <w:p>
      <w:pPr>
        <w:spacing w:line="360" w:lineRule="auto" w:after="120"/>
        <w:ind w:firstLine="420"/>
      </w:pPr>
      <w:r>
        <w:t>[12] Siemens G, Long P. Penetrating the Fog: Analytics in Learning and Education[J]. EDUCAUSE Review, 2011, 46(5): 30-40.</w:t>
      </w:r>
    </w:p>
    <w:p>
      <w:r>
        <w:rPr>
          <w:rFonts w:ascii="黑体" w:hAnsi="黑体" w:eastAsia="黑体"/>
          <w:b/>
          <w:sz w:val="30"/>
        </w:rPr>
        <w:t>附录 程序与数据链接</w:t>
      </w:r>
    </w:p>
    <w:p>
      <w:pPr>
        <w:spacing w:line="360" w:lineRule="auto" w:after="120"/>
        <w:ind w:firstLine="420"/>
      </w:pPr>
      <w:r>
        <w:t>代码仓库：</w:t>
      </w:r>
      <w:r>
        <w:rPr>
          <w:rFonts w:ascii="Consolas" w:hAnsi="Consolas" w:eastAsia="Consolas"/>
        </w:rPr>
        <w:t>https://github.com/2569236303h-oss/-.git</w:t>
      </w:r>
      <w:r/>
    </w:p>
    <w:p>
      <w:pPr>
        <w:spacing w:line="360" w:lineRule="auto" w:after="120"/>
        <w:ind w:firstLine="420"/>
      </w:pPr>
      <w:r>
        <w:t>实验脚本：</w:t>
      </w:r>
      <w:r>
        <w:rPr>
          <w:rFonts w:ascii="Consolas" w:hAnsi="Consolas" w:eastAsia="Consolas"/>
        </w:rPr>
        <w:t>/Users/wendy/svg-demo/paper_update/generate_assets.py</w:t>
      </w:r>
      <w:r/>
    </w:p>
    <w:p>
      <w:pPr>
        <w:spacing w:line="360" w:lineRule="auto" w:after="120"/>
        <w:ind w:firstLine="420"/>
      </w:pPr>
      <w:r>
        <w:t>结果文件目录：</w:t>
      </w:r>
      <w:r>
        <w:rPr>
          <w:rFonts w:ascii="Consolas" w:hAnsi="Consolas" w:eastAsia="Consolas"/>
        </w:rPr>
        <w:t>/Users/wendy/svg-demo/paper_update/outputs</w:t>
      </w:r>
      <w:r/>
    </w:p>
    <w:p>
      <w:pPr>
        <w:spacing w:line="360" w:lineRule="auto" w:after="120"/>
        <w:ind w:firstLine="420"/>
      </w:pPr>
      <w:r>
        <w:t>图表目录：</w:t>
      </w:r>
      <w:r>
        <w:rPr>
          <w:rFonts w:ascii="Consolas" w:hAnsi="Consolas" w:eastAsia="Consolas"/>
        </w:rPr>
        <w:t>/Users/wendy/svg-demo/paper_update/figures</w:t>
      </w:r>
      <w:r/>
    </w:p>
    <w:p>
      <w:pPr>
        <w:spacing w:line="360" w:lineRule="auto" w:after="120"/>
        <w:ind w:firstLine="420"/>
      </w:pPr>
      <w:r>
        <w:t>数据文件：</w:t>
      </w:r>
      <w:r>
        <w:rPr>
          <w:rFonts w:ascii="Consolas" w:hAnsi="Consolas" w:eastAsia="Consolas"/>
        </w:rPr>
        <w:t>student-mat.csv</w:t>
      </w:r>
      <w:r>
        <w:t>、</w:t>
      </w:r>
      <w:r>
        <w:rPr>
          <w:rFonts w:ascii="Consolas" w:hAnsi="Consolas" w:eastAsia="Consolas"/>
        </w:rPr>
        <w:t>student-por.csv</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