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color w:val="000000"/>
          <w:kern w:val="44"/>
          <w:sz w:val="32"/>
          <w:szCs w:val="44"/>
        </w:rPr>
      </w:pPr>
      <w:r>
        <w:rPr>
          <w:rFonts w:ascii="黑体" w:hAnsi="黑体" w:eastAsia="黑体"/>
          <w:color w:val="000000"/>
          <w:kern w:val="44"/>
          <w:sz w:val="32"/>
          <w:szCs w:val="44"/>
        </w:rPr>
        <w:t>宝鸡文理学院本科毕业</w:t>
      </w:r>
      <w:r>
        <w:rPr>
          <w:rFonts w:hint="eastAsia" w:ascii="黑体" w:hAnsi="黑体" w:eastAsia="黑体"/>
          <w:color w:val="000000"/>
          <w:kern w:val="44"/>
          <w:sz w:val="32"/>
          <w:szCs w:val="44"/>
        </w:rPr>
        <w:t>论文</w:t>
      </w:r>
      <w:r>
        <w:rPr>
          <w:rFonts w:ascii="黑体" w:hAnsi="黑体" w:eastAsia="黑体"/>
          <w:color w:val="000000"/>
          <w:kern w:val="44"/>
          <w:sz w:val="32"/>
          <w:szCs w:val="44"/>
        </w:rPr>
        <w:t>开题报告</w:t>
      </w:r>
    </w:p>
    <w:p>
      <w:pPr>
        <w:spacing w:line="360" w:lineRule="auto"/>
        <w:rPr>
          <w:rFonts w:ascii="黑体" w:hAnsi="黑体" w:eastAsia="黑体"/>
          <w:color w:val="000000"/>
          <w:kern w:val="44"/>
          <w:sz w:val="32"/>
          <w:szCs w:val="44"/>
        </w:rPr>
      </w:pPr>
      <w:r>
        <w:rPr>
          <w:rFonts w:hint="eastAsia" w:ascii="仿宋_GB2312" w:eastAsia="仿宋_GB2312"/>
          <w:bCs/>
          <w:sz w:val="24"/>
        </w:rPr>
        <w:t>学生姓名：</w:t>
      </w:r>
      <w:r>
        <w:rPr>
          <w:rFonts w:ascii="仿宋_GB2312" w:eastAsia="仿宋_GB2312"/>
          <w:bCs/>
          <w:sz w:val="24"/>
          <w:u w:val="thick"/>
        </w:rPr>
        <w:t xml:space="preserve"> </w:t>
      </w:r>
      <w:r>
        <w:rPr>
          <w:rFonts w:hint="eastAsia" w:ascii="仿宋_GB2312" w:eastAsia="仿宋_GB2312"/>
          <w:bCs/>
          <w:sz w:val="24"/>
          <w:u w:val="thick"/>
          <w:lang w:val="en-US" w:eastAsia="zh-CN"/>
        </w:rPr>
        <w:t xml:space="preserve"> 周晓宇 </w:t>
      </w:r>
      <w:r>
        <w:rPr>
          <w:rFonts w:ascii="仿宋_GB2312" w:eastAsia="仿宋_GB2312"/>
          <w:bCs/>
          <w:sz w:val="24"/>
          <w:u w:val="thick"/>
        </w:rPr>
        <w:t xml:space="preserve"> </w:t>
      </w:r>
      <w:r>
        <w:rPr>
          <w:rFonts w:ascii="仿宋_GB2312" w:eastAsia="仿宋_GB2312"/>
          <w:bCs/>
          <w:sz w:val="24"/>
        </w:rPr>
        <w:t xml:space="preserve">   </w:t>
      </w:r>
      <w:r>
        <w:rPr>
          <w:rFonts w:hint="eastAsia" w:ascii="仿宋_GB2312" w:eastAsia="仿宋_GB2312"/>
          <w:bCs/>
          <w:sz w:val="24"/>
        </w:rPr>
        <w:t>学号：</w:t>
      </w:r>
      <w:r>
        <w:rPr>
          <w:rFonts w:hint="eastAsia" w:ascii="仿宋_GB2312" w:eastAsia="仿宋_GB2312"/>
          <w:bCs/>
          <w:sz w:val="24"/>
          <w:u w:val="thick"/>
        </w:rPr>
        <w:t xml:space="preserve"> </w:t>
      </w:r>
      <w:r>
        <w:rPr>
          <w:rFonts w:hint="eastAsia" w:ascii="仿宋_GB2312" w:eastAsia="仿宋_GB2312"/>
          <w:bCs/>
          <w:sz w:val="24"/>
          <w:u w:val="thick"/>
          <w:lang w:val="en-US" w:eastAsia="zh-CN"/>
        </w:rPr>
        <w:t xml:space="preserve">201696094038 </w:t>
      </w:r>
      <w:r>
        <w:rPr>
          <w:rFonts w:ascii="仿宋_GB2312" w:eastAsia="仿宋_GB2312"/>
          <w:bCs/>
          <w:sz w:val="24"/>
        </w:rPr>
        <w:t xml:space="preserve">   </w:t>
      </w:r>
      <w:r>
        <w:rPr>
          <w:rFonts w:hint="eastAsia" w:ascii="仿宋_GB2312" w:eastAsia="仿宋_GB2312"/>
          <w:bCs/>
          <w:sz w:val="24"/>
        </w:rPr>
        <w:t>指导教师：</w:t>
      </w:r>
      <w:r>
        <w:rPr>
          <w:rFonts w:hint="eastAsia" w:ascii="仿宋_GB2312" w:eastAsia="仿宋_GB2312"/>
          <w:bCs/>
          <w:sz w:val="24"/>
          <w:u w:val="thick"/>
        </w:rPr>
        <w:t xml:space="preserve"> </w:t>
      </w:r>
      <w:r>
        <w:rPr>
          <w:rFonts w:ascii="仿宋_GB2312" w:eastAsia="仿宋_GB2312"/>
          <w:bCs/>
          <w:sz w:val="24"/>
          <w:u w:val="thick"/>
        </w:rPr>
        <w:t xml:space="preserve"> </w:t>
      </w:r>
      <w:r>
        <w:rPr>
          <w:rFonts w:hint="eastAsia" w:ascii="仿宋_GB2312" w:eastAsia="仿宋_GB2312"/>
          <w:bCs/>
          <w:sz w:val="24"/>
          <w:u w:val="thick"/>
          <w:lang w:val="en-US" w:eastAsia="zh-CN"/>
        </w:rPr>
        <w:t xml:space="preserve"> 鲁晔   </w:t>
      </w:r>
      <w:r>
        <w:rPr>
          <w:rFonts w:ascii="仿宋_GB2312" w:eastAsia="仿宋_GB2312"/>
          <w:bCs/>
          <w:sz w:val="24"/>
          <w:u w:val="thick"/>
        </w:rPr>
        <w:t xml:space="preserve"> 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5" w:hRule="atLeast"/>
        </w:trPr>
        <w:tc>
          <w:tcPr>
            <w:tcW w:w="8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立项（选题）依据</w:t>
            </w:r>
          </w:p>
          <w:p>
            <w:pPr>
              <w:ind w:firstLine="420" w:firstLineChars="200"/>
              <w:rPr>
                <w:rFonts w:hint="eastAsia" w:ascii="楷体_GB2312" w:eastAsia="楷体_GB2312" w:hAnsiTheme="minorEastAsia"/>
                <w:color w:val="000000"/>
                <w:lang w:val="en-US" w:eastAsia="zh-CN"/>
              </w:rPr>
            </w:pPr>
            <w:r>
              <w:rPr>
                <w:rFonts w:hint="eastAsia" w:ascii="楷体_GB2312" w:eastAsia="楷体_GB2312" w:hAnsiTheme="minorEastAsia"/>
                <w:color w:val="000000"/>
                <w:lang w:val="en-US" w:eastAsia="zh-CN"/>
              </w:rPr>
              <w:t>本课题名为基于ZigBee的鱼塘水质监测系统设计。</w:t>
            </w:r>
          </w:p>
          <w:p>
            <w:pPr>
              <w:ind w:firstLine="420" w:firstLineChars="200"/>
              <w:rPr>
                <w:rFonts w:ascii="楷体_GB2312" w:eastAsia="楷体_GB2312" w:hAnsiTheme="minorEastAsia"/>
                <w:color w:val="000000"/>
                <w:sz w:val="24"/>
              </w:rPr>
            </w:pPr>
            <w:r>
              <w:rPr>
                <w:rFonts w:hint="eastAsia" w:ascii="楷体_GB2312" w:eastAsia="楷体_GB2312" w:hAnsiTheme="minorEastAsia"/>
                <w:color w:val="000000"/>
                <w:lang w:val="en-US" w:eastAsia="zh-CN"/>
              </w:rPr>
              <w:t>我国近年互联网和自动化迅速发展，遍布各个领域，特别是养殖领域的影响，传统的水产养殖领域也在飞速发展，对水产养殖的密度和质量要求也不断提高。以往靠水产养殖户的经验选苗和维护，但是由于天气存在一定的变化和南北方不同地域差异，导致水产养殖密度小。为了解决对不同鱼苗混合养殖的产量和鱼塘的水资源空间的利用率，需要对养殖的环境进行实时检测和控制，鱼塘的不同水层的温度、PH值、溶氧量的因素，影响水产养殖业的高效养殖。本课题设计出基于ZigBee技术的远程数据采集和监控测系统，为鱼塘水体的PH值、温度、大气压、溶氧量浓度等参数提供较为准确的检测，合理分配利用鱼塘的水资源并且预防水质污染和疾病灾害等问题，实现自动化、信息化和规模化的鱼塘养殖，以达到提高鱼塘水产的养殖密度。</w:t>
            </w:r>
          </w:p>
          <w:p>
            <w:pPr>
              <w:ind w:firstLine="480" w:firstLineChars="200"/>
              <w:rPr>
                <w:rFonts w:ascii="楷体_GB2312" w:eastAsia="楷体_GB2312" w:hAnsiTheme="minor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4" w:hRule="atLeast"/>
        </w:trPr>
        <w:tc>
          <w:tcPr>
            <w:tcW w:w="8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研究内容</w:t>
            </w:r>
          </w:p>
          <w:p>
            <w:pPr>
              <w:ind w:firstLine="420" w:firstLineChars="200"/>
              <w:rPr>
                <w:b/>
                <w:color w:val="000000"/>
                <w:sz w:val="24"/>
              </w:rPr>
            </w:pPr>
            <w:r>
              <w:rPr>
                <w:rFonts w:hint="eastAsia" w:ascii="楷体_GB2312" w:eastAsia="楷体_GB2312" w:hAnsiTheme="minorEastAsia"/>
                <w:color w:val="000000"/>
                <w:lang w:val="en-US" w:eastAsia="zh-CN"/>
              </w:rPr>
              <w:t>对于传统的水产养殖户，大多为小规模散养，人工成本大，对养殖户的经验知识也有很高的要求，为降低人工成本和实现自动化高效养殖。</w:t>
            </w:r>
            <w:r>
              <w:rPr>
                <w:rFonts w:hint="eastAsia" w:ascii="楷体_GB2312" w:eastAsia="楷体_GB2312" w:hAnsiTheme="minorEastAsia"/>
                <w:color w:val="000000"/>
              </w:rPr>
              <w:t>本课题</w:t>
            </w:r>
            <w:r>
              <w:rPr>
                <w:rFonts w:hint="eastAsia" w:ascii="楷体_GB2312" w:eastAsia="楷体_GB2312" w:hAnsiTheme="minorEastAsia"/>
                <w:color w:val="000000"/>
                <w:lang w:val="en-US" w:eastAsia="zh-CN"/>
              </w:rPr>
              <w:t>采用arm作为终端处理器，CC2530为子节点控制器，构建可自组织的ZigBee无线传感网络，在淡水鱼塘养殖环境中部署无线节点，对鱼塘水体的温度、PH值、溶氧量等参数进行检测，通过arm处理器将相应参数转换为数字量数据，通过ZigBee无线模块将水质数据发送，上位机接收水质数据并进行分析处理，将数据转化为实际常用单位，然后显示在上位机软件界面。本系统可以高效节能的长期连续监测水质，测试发现检测水质数据不在预期水质的范围内，可以通过ZigBee网络发出控制命令，传送到相应的监控终端，对该区域水质进行调整，保证该区域淡水鱼的生存环境并且合理分配水资源，最终提高鱼塘的产量和品质</w:t>
            </w:r>
            <w:bookmarkStart w:id="0" w:name="_GoBack"/>
            <w:bookmarkEnd w:id="0"/>
            <w:r>
              <w:rPr>
                <w:rFonts w:hint="eastAsia" w:ascii="楷体_GB2312" w:eastAsia="楷体_GB2312" w:hAnsiTheme="minorEastAsia"/>
                <w:color w:val="000000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3" w:hRule="atLeast"/>
        </w:trPr>
        <w:tc>
          <w:tcPr>
            <w:tcW w:w="8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三、指导教师意见</w:t>
            </w:r>
          </w:p>
          <w:p>
            <w:pPr>
              <w:ind w:firstLine="420" w:firstLineChars="200"/>
              <w:rPr>
                <w:rFonts w:ascii="楷体_GB2312" w:eastAsia="楷体_GB2312" w:hAnsiTheme="minorEastAsia"/>
                <w:color w:val="000000"/>
              </w:rPr>
            </w:pPr>
            <w:r>
              <w:rPr>
                <w:rFonts w:hint="eastAsia" w:ascii="楷体_GB2312" w:eastAsia="楷体_GB2312" w:hAnsiTheme="minorEastAsia"/>
                <w:color w:val="000000"/>
              </w:rPr>
              <w:t>XXX。</w:t>
            </w:r>
          </w:p>
          <w:p>
            <w:pPr>
              <w:ind w:firstLine="420" w:firstLineChars="200"/>
              <w:rPr>
                <w:rFonts w:ascii="楷体_GB2312" w:eastAsia="楷体_GB2312" w:hAnsiTheme="minorEastAsia"/>
                <w:color w:val="000000"/>
              </w:rPr>
            </w:pPr>
          </w:p>
          <w:p>
            <w:pPr>
              <w:ind w:firstLine="420" w:firstLineChars="200"/>
              <w:rPr>
                <w:rFonts w:ascii="楷体_GB2312" w:eastAsia="楷体_GB2312" w:hAnsiTheme="minorEastAsia"/>
                <w:color w:val="000000"/>
              </w:rPr>
            </w:pPr>
          </w:p>
          <w:p>
            <w:pPr>
              <w:ind w:firstLine="420" w:firstLineChars="200"/>
              <w:rPr>
                <w:rFonts w:ascii="楷体_GB2312" w:eastAsia="楷体_GB2312" w:hAnsiTheme="minorEastAsia"/>
                <w:color w:val="000000"/>
              </w:rPr>
            </w:pPr>
          </w:p>
          <w:p>
            <w:pPr>
              <w:tabs>
                <w:tab w:val="left" w:pos="5835"/>
                <w:tab w:val="left" w:pos="6810"/>
              </w:tabs>
              <w:ind w:firstLine="628" w:firstLineChars="196"/>
              <w:rPr>
                <w:b/>
                <w:color w:val="000000"/>
                <w:sz w:val="24"/>
              </w:rPr>
            </w:pPr>
            <w:r>
              <w:rPr>
                <w:rFonts w:ascii="??_GB2312" w:eastAsia="Times New Roman"/>
                <w:b/>
                <w:color w:val="000000"/>
                <w:sz w:val="32"/>
                <w:szCs w:val="32"/>
              </w:rPr>
              <w:t>经审查，（同意、不同意）开题。</w:t>
            </w:r>
          </w:p>
          <w:p>
            <w:pPr>
              <w:ind w:right="480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                                              </w:t>
            </w:r>
          </w:p>
          <w:p>
            <w:pPr>
              <w:ind w:right="480" w:firstLine="5903" w:firstLineChars="2450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签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名：</w:t>
            </w:r>
          </w:p>
          <w:p>
            <w:pPr>
              <w:spacing w:before="159" w:beforeLines="50"/>
              <w:ind w:right="482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b/>
                <w:color w:val="000000"/>
                <w:sz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经典长宋简">
    <w:altName w:val="宋体"/>
    <w:panose1 w:val="00000000000000000000"/>
    <w:charset w:val="86"/>
    <w:family w:val="modern"/>
    <w:pitch w:val="default"/>
    <w:sig w:usb0="00000000" w:usb1="00000000" w:usb2="0000001E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?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0474"/>
    <w:multiLevelType w:val="singleLevel"/>
    <w:tmpl w:val="584E0474"/>
    <w:lvl w:ilvl="0" w:tentative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84E04DA"/>
    <w:multiLevelType w:val="singleLevel"/>
    <w:tmpl w:val="584E04DA"/>
    <w:lvl w:ilvl="0" w:tentative="0">
      <w:start w:val="1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43552"/>
    <w:rsid w:val="0C5B3055"/>
    <w:rsid w:val="0CA030C0"/>
    <w:rsid w:val="0DAA5C59"/>
    <w:rsid w:val="21F07D1E"/>
    <w:rsid w:val="23DF44AB"/>
    <w:rsid w:val="351E618A"/>
    <w:rsid w:val="4EDA1243"/>
    <w:rsid w:val="53400D80"/>
    <w:rsid w:val="5A954021"/>
    <w:rsid w:val="637C5873"/>
    <w:rsid w:val="68001B67"/>
    <w:rsid w:val="6F7B4D80"/>
    <w:rsid w:val="7983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29181</dc:creator>
  <cp:lastModifiedBy>29181</cp:lastModifiedBy>
  <dcterms:modified xsi:type="dcterms:W3CDTF">2019-12-04T01:53:04Z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