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9AAF5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82230"/>
          <w:sz w:val="40"/>
        </w:rPr>
        <w:t>CompanionGuard v0.8 → v19 更新说明</w:t>
      </w:r>
    </w:p>
    <w:p w14:paraId="44919E28">
      <w:pPr>
        <w:spacing w:after="1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86576"/>
          <w:sz w:val="21"/>
        </w:rPr>
        <w:t>面向拟人化 AI 服务的监管评测与风险诊断系统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DCF4117">
        <w:trPr>
          <w:jc w:val="center"/>
        </w:trPr>
        <w:tc>
          <w:tcPr>
            <w:tcW w:w="9978" w:type="dxa"/>
            <w:shd w:val="clear" w:color="auto" w:fill="EEF4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0735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9"/>
              </w:rPr>
              <w:t xml:space="preserve">版本关系  </w:t>
            </w: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9"/>
              </w:rPr>
              <w:t>相较比赛截止日前提交的 v0.8，本次 v19 保留原有“监管要求 → 可执行测试 → 自动判定 → 人工复核”的系统主线，并完成正式 Full Benchmark、三层证据采集、确定性后分析、报告质量控制与生产发布。</w:t>
            </w:r>
          </w:p>
        </w:tc>
      </w:tr>
    </w:tbl>
    <w:p w14:paraId="0A77E62E">
      <w:pPr>
        <w:spacing w:before="12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3156D9"/>
          <w:sz w:val="23"/>
        </w:rPr>
        <w:t>一、从原型系统到完整评测闭环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02A5485">
        <w:trPr>
          <w:jc w:val="center"/>
        </w:trPr>
        <w:tc>
          <w:tcPr>
            <w:tcW w:w="3326" w:type="dxa"/>
            <w:shd w:val="clear" w:color="auto" w:fill="EEF4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8500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7"/>
              </w:rPr>
              <w:t>维度</w:t>
            </w:r>
          </w:p>
        </w:tc>
        <w:tc>
          <w:tcPr>
            <w:tcW w:w="3326" w:type="dxa"/>
            <w:shd w:val="clear" w:color="auto" w:fill="EEF4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42BA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7"/>
              </w:rPr>
              <w:t>v0.8（截止日前提交）</w:t>
            </w:r>
          </w:p>
        </w:tc>
        <w:tc>
          <w:tcPr>
            <w:tcW w:w="3326" w:type="dxa"/>
            <w:shd w:val="clear" w:color="auto" w:fill="EEF4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58A6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7"/>
              </w:rPr>
              <w:t>v19（当前最终版本）</w:t>
            </w:r>
          </w:p>
        </w:tc>
      </w:tr>
      <w:tr w14:paraId="4F3FC008">
        <w:trPr>
          <w:cantSplit/>
          <w:jc w:val="center"/>
        </w:trPr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F5BD5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6"/>
              </w:rPr>
              <w:t>评测范围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392F3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已具备项目、测试、Judge、人工复核和 Layer 2/3 基础框架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5AF92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完成 MoMood、星野、豆包三款真实产品的 Formal Full Benchmark</w:t>
            </w:r>
          </w:p>
        </w:tc>
      </w:tr>
      <w:tr w14:paraId="044F77EE">
        <w:trPr>
          <w:cantSplit/>
          <w:jc w:val="center"/>
        </w:trPr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F6399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6"/>
              </w:rPr>
              <w:t>正式数据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EF304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以系统能力与流程展示为主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0CE44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210 个正式对话案例；209 个有效案例；全部完成人工裁定</w:t>
            </w:r>
          </w:p>
        </w:tc>
      </w:tr>
      <w:tr w14:paraId="1A4AF4B6">
        <w:trPr>
          <w:cantSplit/>
          <w:jc w:val="center"/>
        </w:trPr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64B49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6"/>
              </w:rPr>
              <w:t>三层证据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E4528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Layer 1/2/3 已进入系统结构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DC689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形成 209 个有效行为案例、66 条产品安全机制记录、18 条公开制度材料记录</w:t>
            </w:r>
          </w:p>
        </w:tc>
      </w:tr>
      <w:tr w14:paraId="4614FFB9">
        <w:trPr>
          <w:cantSplit/>
          <w:jc w:val="center"/>
        </w:trPr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ADDEA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6"/>
              </w:rPr>
              <w:t>分析能力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9F909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基础 Finding 与结果展示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B15EA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增加压力/多轮鲁棒性、明确诱导风险转变、专项诊断与 Judge–Human Reliability</w:t>
            </w:r>
          </w:p>
        </w:tc>
      </w:tr>
      <w:tr w14:paraId="14C7A433">
        <w:trPr>
          <w:cantSplit/>
          <w:jc w:val="center"/>
        </w:trPr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60EC1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16"/>
              </w:rPr>
              <w:t>报告与发布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BEFF7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具备自动报告框架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DCAE7">
            <w:pPr>
              <w:spacing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6"/>
              </w:rPr>
              <w:t>形成两份 LLM 辅助生成、人工复核的正式报告，并建立确定性校验、发布快照与恢复机制</w:t>
            </w:r>
          </w:p>
        </w:tc>
      </w:tr>
    </w:tbl>
    <w:p w14:paraId="7C6DF5E5">
      <w:pPr>
        <w:spacing w:before="12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3156D9"/>
          <w:sz w:val="23"/>
        </w:rPr>
        <w:t>二、v19 已完成的正式实证与质量控制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663"/>
        <w:gridCol w:w="1663"/>
        <w:gridCol w:w="1663"/>
        <w:gridCol w:w="1663"/>
        <w:gridCol w:w="1663"/>
      </w:tblGrid>
      <w:tr w14:paraId="548929BD">
        <w:trPr>
          <w:jc w:val="center"/>
        </w:trPr>
        <w:tc>
          <w:tcPr>
            <w:tcW w:w="1663" w:type="dxa"/>
            <w:shd w:val="clear" w:color="auto" w:fill="F8FBFF"/>
            <w:tcMar>
              <w:top w:w="70" w:type="dxa"/>
              <w:left w:w="40" w:type="dxa"/>
              <w:bottom w:w="30" w:type="dxa"/>
              <w:right w:w="40" w:type="dxa"/>
            </w:tcMar>
          </w:tcPr>
          <w:p w14:paraId="3EFCA54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22"/>
              </w:rPr>
              <w:t>209</w:t>
            </w:r>
          </w:p>
        </w:tc>
        <w:tc>
          <w:tcPr>
            <w:tcW w:w="1663" w:type="dxa"/>
            <w:shd w:val="clear" w:color="auto" w:fill="F8FBFF"/>
            <w:tcMar>
              <w:top w:w="70" w:type="dxa"/>
              <w:left w:w="40" w:type="dxa"/>
              <w:bottom w:w="30" w:type="dxa"/>
              <w:right w:w="40" w:type="dxa"/>
            </w:tcMar>
          </w:tcPr>
          <w:p w14:paraId="7E34EA1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22"/>
              </w:rPr>
              <w:t>18.5%</w:t>
            </w:r>
          </w:p>
        </w:tc>
        <w:tc>
          <w:tcPr>
            <w:tcW w:w="1663" w:type="dxa"/>
            <w:shd w:val="clear" w:color="auto" w:fill="F8FBFF"/>
            <w:tcMar>
              <w:top w:w="70" w:type="dxa"/>
              <w:left w:w="40" w:type="dxa"/>
              <w:bottom w:w="30" w:type="dxa"/>
              <w:right w:w="40" w:type="dxa"/>
            </w:tcMar>
          </w:tcPr>
          <w:p w14:paraId="0ED054D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22"/>
              </w:rPr>
              <w:t>94.7%</w:t>
            </w:r>
          </w:p>
        </w:tc>
        <w:tc>
          <w:tcPr>
            <w:tcW w:w="1663" w:type="dxa"/>
            <w:shd w:val="clear" w:color="auto" w:fill="F8FBFF"/>
            <w:tcMar>
              <w:top w:w="70" w:type="dxa"/>
              <w:left w:w="40" w:type="dxa"/>
              <w:bottom w:w="30" w:type="dxa"/>
              <w:right w:w="40" w:type="dxa"/>
            </w:tcMar>
          </w:tcPr>
          <w:p w14:paraId="1633B5B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22"/>
              </w:rPr>
              <w:t>+6.9 pp</w:t>
            </w:r>
          </w:p>
        </w:tc>
        <w:tc>
          <w:tcPr>
            <w:tcW w:w="1663" w:type="dxa"/>
            <w:shd w:val="clear" w:color="auto" w:fill="F8FBFF"/>
            <w:tcMar>
              <w:top w:w="70" w:type="dxa"/>
              <w:left w:w="40" w:type="dxa"/>
              <w:bottom w:w="30" w:type="dxa"/>
              <w:right w:w="40" w:type="dxa"/>
            </w:tcMar>
          </w:tcPr>
          <w:p w14:paraId="261FEA7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22"/>
              </w:rPr>
              <w:t>−2.8 pp</w:t>
            </w:r>
          </w:p>
        </w:tc>
        <w:tc>
          <w:tcPr>
            <w:tcW w:w="1663" w:type="dxa"/>
            <w:shd w:val="clear" w:color="auto" w:fill="F8FBFF"/>
            <w:tcMar>
              <w:top w:w="70" w:type="dxa"/>
              <w:left w:w="40" w:type="dxa"/>
              <w:bottom w:w="30" w:type="dxa"/>
              <w:right w:w="40" w:type="dxa"/>
            </w:tcMar>
          </w:tcPr>
          <w:p w14:paraId="6554C07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56D9"/>
                <w:sz w:val="22"/>
              </w:rPr>
              <w:t>8.3%</w:t>
            </w:r>
          </w:p>
        </w:tc>
      </w:tr>
      <w:tr w14:paraId="0D38EBB3">
        <w:trPr>
          <w:jc w:val="center"/>
        </w:trPr>
        <w:tc>
          <w:tcPr>
            <w:tcW w:w="1663" w:type="dxa"/>
            <w:shd w:val="clear" w:color="auto" w:fill="F8FBFF"/>
            <w:tcMar>
              <w:top w:w="20" w:type="dxa"/>
              <w:left w:w="35" w:type="dxa"/>
              <w:bottom w:w="70" w:type="dxa"/>
              <w:right w:w="35" w:type="dxa"/>
            </w:tcMar>
          </w:tcPr>
          <w:p w14:paraId="66BA85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86576"/>
                <w:sz w:val="14"/>
              </w:rPr>
              <w:t>有效正式案例</w:t>
            </w:r>
          </w:p>
        </w:tc>
        <w:tc>
          <w:tcPr>
            <w:tcW w:w="1663" w:type="dxa"/>
            <w:shd w:val="clear" w:color="auto" w:fill="F8FBFF"/>
            <w:tcMar>
              <w:top w:w="20" w:type="dxa"/>
              <w:left w:w="35" w:type="dxa"/>
              <w:bottom w:w="70" w:type="dxa"/>
              <w:right w:w="35" w:type="dxa"/>
            </w:tcMar>
          </w:tcPr>
          <w:p w14:paraId="4373EB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86576"/>
                <w:sz w:val="14"/>
              </w:rPr>
              <w:t>五模块宏平均风险发现率</w:t>
            </w:r>
          </w:p>
        </w:tc>
        <w:tc>
          <w:tcPr>
            <w:tcW w:w="1663" w:type="dxa"/>
            <w:shd w:val="clear" w:color="auto" w:fill="F8FBFF"/>
            <w:tcMar>
              <w:top w:w="20" w:type="dxa"/>
              <w:left w:w="35" w:type="dxa"/>
              <w:bottom w:w="70" w:type="dxa"/>
              <w:right w:w="35" w:type="dxa"/>
            </w:tcMar>
          </w:tcPr>
          <w:p w14:paraId="6B5B0D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86576"/>
                <w:sz w:val="14"/>
              </w:rPr>
              <w:t>Judge–Human 完全一致率</w:t>
            </w:r>
          </w:p>
        </w:tc>
        <w:tc>
          <w:tcPr>
            <w:tcW w:w="1663" w:type="dxa"/>
            <w:shd w:val="clear" w:color="auto" w:fill="F8FBFF"/>
            <w:tcMar>
              <w:top w:w="20" w:type="dxa"/>
              <w:left w:w="35" w:type="dxa"/>
              <w:bottom w:w="70" w:type="dxa"/>
              <w:right w:w="35" w:type="dxa"/>
            </w:tcMar>
          </w:tcPr>
          <w:p w14:paraId="56C990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86576"/>
                <w:sz w:val="14"/>
              </w:rPr>
              <w:t>压力鲁棒性差值</w:t>
            </w:r>
          </w:p>
        </w:tc>
        <w:tc>
          <w:tcPr>
            <w:tcW w:w="1663" w:type="dxa"/>
            <w:shd w:val="clear" w:color="auto" w:fill="F8FBFF"/>
            <w:tcMar>
              <w:top w:w="20" w:type="dxa"/>
              <w:left w:w="35" w:type="dxa"/>
              <w:bottom w:w="70" w:type="dxa"/>
              <w:right w:w="35" w:type="dxa"/>
            </w:tcMar>
          </w:tcPr>
          <w:p w14:paraId="1F745F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86576"/>
                <w:sz w:val="14"/>
              </w:rPr>
              <w:t>多轮鲁棒性差值</w:t>
            </w:r>
          </w:p>
        </w:tc>
        <w:tc>
          <w:tcPr>
            <w:tcW w:w="1663" w:type="dxa"/>
            <w:shd w:val="clear" w:color="auto" w:fill="F8FBFF"/>
            <w:tcMar>
              <w:top w:w="20" w:type="dxa"/>
              <w:left w:w="35" w:type="dxa"/>
              <w:bottom w:w="70" w:type="dxa"/>
              <w:right w:w="35" w:type="dxa"/>
            </w:tcMar>
          </w:tcPr>
          <w:p w14:paraId="4E2784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86576"/>
                <w:sz w:val="14"/>
              </w:rPr>
              <w:t>明确诱导风险转变</w:t>
            </w:r>
          </w:p>
        </w:tc>
      </w:tr>
    </w:tbl>
    <w:p w14:paraId="0A531B1D">
      <w:pPr>
        <w:spacing w:before="80" w:after="4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82230"/>
          <w:sz w:val="18"/>
        </w:rPr>
        <w:t>正式结果以人工 final label 为准；LLM Judge 用于规模化筛查与结构化诊断。 当前 209 个有效案例上的 Cohen’s κ = 0.811，FINDING Precision = 96.3%，Recall = 76.5%。</w:t>
      </w:r>
    </w:p>
    <w:p w14:paraId="3A1A7167">
      <w:pPr>
        <w:spacing w:before="12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3156D9"/>
          <w:sz w:val="23"/>
        </w:rPr>
        <w:t>三、v19 的交付形态</w:t>
      </w:r>
    </w:p>
    <w:p w14:paraId="23298ADB">
      <w:pPr>
        <w:pStyle w:val="16"/>
        <w:spacing w:after="30" w:line="269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82230"/>
          <w:sz w:val="17"/>
        </w:rPr>
        <w:t>方法：新版《Benchmark 构建与方法设计说明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color w:val="182230"/>
          <w:sz w:val="17"/>
        </w:rPr>
        <w:t>》与《技术架构与系统实现说明 · v19》。</w:t>
      </w:r>
    </w:p>
    <w:p w14:paraId="72C5F8D1">
      <w:pPr>
        <w:pStyle w:val="16"/>
        <w:spacing w:after="30" w:line="269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82230"/>
          <w:sz w:val="17"/>
        </w:rPr>
        <w:t>报告：Dialogue Report v3 与 Integrated Report v3，均为 LLM-assisted, Human-reviewed；网站展示 Markdown，同时提供 DOCX 下载。</w:t>
      </w:r>
    </w:p>
    <w:p w14:paraId="123C20D5">
      <w:pPr>
        <w:pStyle w:val="16"/>
        <w:spacing w:after="30" w:line="269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82230"/>
          <w:sz w:val="17"/>
        </w:rPr>
        <w:t>系统：生产网站保留 Golden UI，在原有工作流基础上新增 Formal Benchmark Results 与 Why It Matters，不改变 Judge、Workspace 和正式数据逻辑。</w:t>
      </w:r>
    </w:p>
    <w:p w14:paraId="61EDA224">
      <w:pPr>
        <w:pStyle w:val="16"/>
        <w:spacing w:after="30" w:line="269" w:lineRule="auto"/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82230"/>
          <w:sz w:val="17"/>
        </w:rPr>
        <w:t>复现：保留 criteria、正式数据快照、deterministic post-analysis、测试代码、manifest / checksum 与 recovery point。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70101E2">
        <w:trPr>
          <w:jc w:val="center"/>
        </w:trPr>
        <w:tc>
          <w:tcPr>
            <w:tcW w:w="9978" w:type="dxa"/>
            <w:shd w:val="clear" w:color="auto" w:fill="F5F8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B9A312">
            <w:pPr>
              <w:spacing w:after="0" w:line="27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82230"/>
                <w:sz w:val="18"/>
              </w:rPr>
              <w:t>本次更新的核心不是增加更多页面或测试题，而是把 v0.8 中已经建立的系统框架真正运行到完整的真实产品评测流程中：</w:t>
            </w:r>
            <w:r>
              <w:rPr>
                <w:rFonts w:hint="eastAsia" w:ascii="微软雅黑" w:hAnsi="微软雅黑" w:eastAsia="微软雅黑" w:cs="微软雅黑"/>
                <w:b/>
                <w:color w:val="3156D9"/>
                <w:sz w:val="18"/>
              </w:rPr>
              <w:t>从规范操作化、标准测试、自动判定和人工裁定，到三层证据、确定性分析、正式报告与生产发布，形成一条可执行、可复核、可追溯的治理评测链路。</w:t>
            </w:r>
          </w:p>
        </w:tc>
      </w:tr>
    </w:tbl>
    <w:p w14:paraId="2DE8CDB9">
      <w:pPr>
        <w:spacing w:before="80" w:after="0"/>
        <w:jc w:val="right"/>
      </w:pPr>
      <w:r>
        <w:rPr>
          <w:rFonts w:ascii="Noto Sans CJK SC" w:hAnsi="Noto Sans CJK SC" w:eastAsia="Noto Sans CJK SC"/>
          <w:b w:val="0"/>
          <w:color w:val="586576"/>
          <w:sz w:val="16"/>
        </w:rPr>
        <w:t>CompanionGuard v19 · 2026-09-21</w:t>
      </w:r>
    </w:p>
    <w:sectPr>
      <w:pgSz w:w="11906" w:h="16838"/>
      <w:pgMar w:top="794" w:right="964" w:bottom="79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aSXSX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SXSXT">
    <w:panose1 w:val="02010600010101010101"/>
    <w:charset w:val="86"/>
    <w:family w:val="auto"/>
    <w:pitch w:val="default"/>
    <w:sig w:usb0="00000001" w:usb1="080E0000" w:usb2="00000000" w:usb3="00000000" w:csb0="00040003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DCF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4" w:line="283" w:lineRule="auto"/>
    </w:pPr>
    <w:rPr>
      <w:rFonts w:ascii="Noto Sans CJK SC" w:hAnsi="Noto Sans CJK SC" w:eastAsia="Noto Sans CJK SC" w:cstheme="minorBidi"/>
      <w:color w:val="182230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张如玉</cp:lastModifiedBy>
  <dcterms:modified xsi:type="dcterms:W3CDTF">2026-09-21T22:47:58Z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35FB4E55F73CBD669E43B16A6A8B8839_42</vt:lpwstr>
  </property>
</Properties>
</file>