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keepNext w:val="0"/>
        <w:keepLines w:val="0"/>
        <w:pageBreakBefore w:val="0"/>
        <w:widowControl w:val="0"/>
        <w:kinsoku/>
        <w:wordWrap/>
        <w:overflowPunct/>
        <w:topLinePunct w:val="0"/>
        <w:autoSpaceDE/>
        <w:autoSpaceDN/>
        <w:bidi w:val="0"/>
        <w:adjustRightInd/>
        <w:snapToGrid/>
        <w:spacing w:line="560" w:lineRule="exact"/>
        <w:textAlignment w:val="auto"/>
        <w:outlineLvl w:val="0"/>
        <w:rPr>
          <w:rFonts w:hint="eastAsia" w:ascii="方正小标宋简体" w:hAnsi="方正小标宋简体" w:eastAsia="方正小标宋简体" w:cs="方正小标宋简体"/>
          <w:b/>
          <w:bCs w:val="0"/>
          <w:sz w:val="44"/>
          <w:szCs w:val="44"/>
        </w:rPr>
      </w:pPr>
      <w:r/>
    </w:p>
    <w:p>
      <w:pPr>
        <w:pStyle w:val="5"/>
        <w:keepNext w:val="0"/>
        <w:keepLines w:val="0"/>
        <w:pageBreakBefore w:val="0"/>
        <w:widowControl w:val="0"/>
        <w:kinsoku/>
        <w:wordWrap/>
        <w:overflowPunct/>
        <w:topLinePunct w:val="0"/>
        <w:autoSpaceDE/>
        <w:autoSpaceDN/>
        <w:bidi w:val="0"/>
        <w:adjustRightInd/>
        <w:snapToGrid/>
        <w:spacing w:line="660" w:lineRule="exact"/>
        <w:textAlignment w:val="auto"/>
        <w:outlineLvl w:val="0"/>
        <w:rPr>
          <w:rFonts w:hint="eastAsia" w:ascii="方正小标宋简体" w:hAnsi="方正小标宋简体" w:eastAsia="方正小标宋简体" w:cs="方正小标宋简体"/>
          <w:b w:val="0"/>
          <w:bCs/>
          <w:sz w:val="44"/>
          <w:szCs w:val="44"/>
        </w:rPr>
      </w:pPr>
      <w:r>
        <w:rPr>
          <w:rFonts w:hint="eastAsia" w:ascii="方正小标宋简体" w:hAnsi="方正小标宋简体" w:eastAsia="方正小标宋简体" w:cs="方正小标宋简体"/>
          <w:b w:val="0"/>
          <w:bCs/>
          <w:sz w:val="44"/>
          <w:szCs w:val="44"/>
        </w:rPr>
        <w:t>上海浦东新区启帆路证券营业部</w:t>
      </w:r>
    </w:p>
    <w:p>
      <w:pPr>
        <w:pStyle w:val="5"/>
        <w:keepNext w:val="0"/>
        <w:keepLines w:val="0"/>
        <w:pageBreakBefore w:val="0"/>
        <w:widowControl w:val="0"/>
        <w:kinsoku/>
        <w:wordWrap/>
        <w:overflowPunct/>
        <w:topLinePunct w:val="0"/>
        <w:autoSpaceDE/>
        <w:autoSpaceDN/>
        <w:bidi w:val="0"/>
        <w:adjustRightInd/>
        <w:snapToGrid/>
        <w:spacing w:line="660" w:lineRule="exact"/>
        <w:textAlignment w:val="auto"/>
        <w:outlineLvl w:val="0"/>
        <w:rPr>
          <w:rFonts w:hint="eastAsia" w:ascii="方正小标宋简体" w:hAnsi="方正小标宋简体" w:eastAsia="方正小标宋简体" w:cs="方正小标宋简体"/>
          <w:b w:val="0"/>
          <w:bCs/>
          <w:sz w:val="44"/>
          <w:szCs w:val="44"/>
        </w:rPr>
      </w:pPr>
      <w:r>
        <w:rPr>
          <w:rFonts w:hint="eastAsia" w:ascii="方正小标宋简体" w:hAnsi="方正小标宋简体" w:eastAsia="方正小标宋简体" w:cs="方正小标宋简体"/>
          <w:b w:val="0"/>
          <w:bCs/>
          <w:sz w:val="44"/>
          <w:szCs w:val="44"/>
        </w:rPr>
        <w:t>反洗钱审计报告</w:t>
      </w:r>
    </w:p>
    <w:p>
      <w:pPr>
        <w:keepNext w:val="0"/>
        <w:keepLines w:val="0"/>
        <w:pageBreakBefore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color w:val="000000"/>
          <w:sz w:val="32"/>
          <w:szCs w:val="32"/>
        </w:rPr>
      </w:pPr>
      <w:r/>
    </w:p>
    <w:p>
      <w:pPr>
        <w:keepNext w:val="0"/>
        <w:keepLines w:val="0"/>
        <w:pageBreakBefore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上海浦东新区启帆路证券营业部：</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按照审计工作安排，审计中心于2025年11月成立审计组，对你单位2023年9月至2025年10月期间（以下简称“审计期”）反洗钱工作情况进行了审计，实施了审核、查询、访谈、分析性复核等必要的审计程序。检查内容包括内控机制建设、客户身份识别、客户风险分类管理、大额交易和可疑交易报告、客户身份资料和交易记录保存、培训与宣传等情况。现出具报告如下：</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b w:val="0"/>
          <w:bCs/>
          <w:sz w:val="32"/>
          <w:szCs w:val="32"/>
        </w:rPr>
      </w:pPr>
      <w:r>
        <w:rPr>
          <w:rFonts w:hint="eastAsia" w:ascii="黑体" w:hAnsi="黑体" w:eastAsia="黑体" w:cs="黑体"/>
          <w:b w:val="0"/>
          <w:bCs/>
          <w:sz w:val="32"/>
          <w:szCs w:val="32"/>
        </w:rPr>
        <w:t>一、基本情况</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审计期内，营业部按照监管要求及公司制度规定，成立了反洗钱工作小组，制订了营业部反洗钱工作制度，建立了反洗钱日常工作机制，开展了反洗钱工作。</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内控机制建设方面，营业部根据总部反洗钱相关制度，结合营业部实际情况制定了营业部反洗钱内控制度及配套流程。营业部反洗钱制度涵盖了客户身份识别、客户风险等级划分、大额交易和可疑交易报告、客户身份资料和交易记录保存、反恐怖融资和涉恐资产冻结、宣传培训、绩效考核、责任追究等方面的内部操作规程和控制措施。</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客户身份识别方面，在与客户建立业务关系时，营业部遵守账户实名制要求和“了解你的客户”原则，结合投资者适当性管理要求，认真识别并审核客户身份。业务存续期间，营业部持续关注，及时提示客户更新身份证信息资料，做好客户身份持续识别。当收到可能导致客户风险状况发生实质性变化的外部监管机构或执法机关的协查函、警示函时，营业部能够按时在反洗钱管理系统中录入信息。</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客户风险分类管理方面，营业部基本能够按照公司规定完成新开户客户的风险等级划分工作，但审计期内尚存在1笔划分不及时的情况。营业部基本按规定对不同风险等级客户开展定期审核并记录审核结果，但抽查6笔高风险客户定期审核记录，发现6笔未在规定期限内完成。</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大额及可疑交易分析报告方面，营业部能够按照公司规定完成可疑交易甄别工作，并在反洗钱监控系统内填写批注、保存工作底稿，并通过系统向总部报送。审计期内，营业部上报并经总部认定的可疑交易共15笔，均为一般可疑交易，公司已按照相关要求向反洗钱行政管理部门报送。经检查，营业部对系统筛查出的可疑交易，结合客户身份特征、交易特征等情况开展了人工分析，根据可疑交易监控指标进行综合研判后得出审核结论。同时，营业部已按照公司规定重新评定相关客户风险等级。</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客户身份资料和交易记录保存方面，营业部根据安全、准确、完整、保密等原则以及公司档案管理要求，对客户身份资料和交易记录以及其他与反洗钱工作相关的工作资料进行有效保存。</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培训与宣传方面，营业部在营业场所内通过多种方式积极向客户宣传反洗钱知识，每年不定期组织本部门的日常反洗钱培训。培训内容包括反洗钱最新的法律法规、监管案例以及公司下发的反洗钱培训内容，培训后均做好培训资料、签到表、现场照片等资料的留存工作。</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b w:val="0"/>
          <w:bCs/>
          <w:sz w:val="32"/>
          <w:szCs w:val="32"/>
        </w:rPr>
      </w:pPr>
      <w:r>
        <w:rPr>
          <w:rFonts w:hint="eastAsia" w:ascii="黑体" w:hAnsi="黑体" w:eastAsia="黑体" w:cs="黑体"/>
          <w:b w:val="0"/>
          <w:bCs/>
          <w:sz w:val="32"/>
          <w:szCs w:val="32"/>
        </w:rPr>
        <w:t>二、审计发现的主要问题</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审计期内，未发现营业部在反洗钱工作方面存在重大或重要的内控缺陷，但是仍存在以下不足：</w:t>
      </w:r>
    </w:p>
    <w:p>
      <w:pPr>
        <w:keepNext w:val="0"/>
        <w:keepLines w:val="0"/>
        <w:pageBreakBefore w:val="0"/>
        <w:kinsoku/>
        <w:wordWrap/>
        <w:overflowPunct/>
        <w:topLinePunct w:val="0"/>
        <w:autoSpaceDE/>
        <w:autoSpaceDN/>
        <w:bidi w:val="0"/>
        <w:adjustRightInd/>
        <w:snapToGrid/>
        <w:spacing w:line="560" w:lineRule="exact"/>
        <w:ind w:firstLine="643" w:firstLineChars="200"/>
        <w:textAlignment w:val="auto"/>
        <w:rPr>
          <w:rFonts w:hint="eastAsia" w:ascii="楷体_GB2312" w:hAnsi="楷体_GB2312" w:eastAsia="楷体_GB2312" w:cs="楷体_GB2312"/>
          <w:b/>
          <w:bCs/>
          <w:color w:val="000000"/>
          <w:sz w:val="32"/>
          <w:szCs w:val="32"/>
          <w:lang w:eastAsia="zh-CN"/>
        </w:rPr>
      </w:pPr>
      <w:r>
        <w:rPr>
          <w:rFonts w:hint="eastAsia" w:ascii="楷体_GB2312" w:hAnsi="楷体_GB2312" w:eastAsia="楷体_GB2312" w:cs="楷体_GB2312"/>
          <w:b/>
          <w:bCs/>
          <w:color w:val="000000"/>
          <w:sz w:val="32"/>
          <w:szCs w:val="32"/>
        </w:rPr>
        <w:t>（一）反洗钱工作小组议事机制执行不规范</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公司《分支机构反洗钱工作管理办法》规定，分支机构反洗钱工作小组建立议事机制，每年至少召开四次反洗钱工作会议，议事范围含括：审议分支机构反洗钱工作小组成员变动、分支机构反洗钱年度培训和宣传工作计划及分支机构其他重要反洗钱工作事项等。</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审计发现，营业部反洗钱工作小组议事机制执行不规范。</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（1）会议频次不足。2023-2024年期间，反洗钱工作小组仅召开了一次会议，不符合公司制度的频次要求。</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（2）议事范围执行不到位。营业部反洗钱年度培训及宣传工作计划等重要事项，均未按规定履行审议程序。</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（3）小组人员管理不及时。营业部财务人员因办公地址变更而无法实际履行反洗钱工作职责，营业部未及时对小组成员名单进行更新调整。</w:t>
      </w:r>
    </w:p>
    <w:p>
      <w:pPr>
        <w:keepNext w:val="0"/>
        <w:keepLines w:val="0"/>
        <w:pageBreakBefore w:val="0"/>
        <w:kinsoku/>
        <w:wordWrap/>
        <w:overflowPunct/>
        <w:topLinePunct w:val="0"/>
        <w:autoSpaceDE/>
        <w:autoSpaceDN/>
        <w:bidi w:val="0"/>
        <w:adjustRightInd/>
        <w:snapToGrid/>
        <w:spacing w:line="560" w:lineRule="exact"/>
        <w:ind w:firstLine="643" w:firstLineChars="200"/>
        <w:textAlignment w:val="auto"/>
        <w:rPr>
          <w:rFonts w:hint="eastAsia" w:ascii="楷体_GB2312" w:hAnsi="楷体_GB2312" w:eastAsia="楷体_GB2312" w:cs="楷体_GB2312"/>
          <w:b/>
          <w:bCs/>
          <w:color w:val="000000"/>
          <w:sz w:val="32"/>
          <w:szCs w:val="32"/>
          <w:lang w:eastAsia="zh-CN"/>
        </w:rPr>
      </w:pPr>
      <w:r>
        <w:rPr>
          <w:rFonts w:hint="eastAsia" w:ascii="楷体_GB2312" w:hAnsi="楷体_GB2312" w:eastAsia="楷体_GB2312" w:cs="楷体_GB2312"/>
          <w:b/>
          <w:bCs/>
          <w:color w:val="000000"/>
          <w:sz w:val="32"/>
          <w:szCs w:val="32"/>
        </w:rPr>
        <w:t>（二）个别新开户客户未及时完成风险等级划分</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公司《洗钱风险评估及客户分类管理办法》规定，对于新建立业务关系的客户，各单位应在建立业务关系后的10个工作日内划分其风险等级。</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审计期内，营业部个别新开户客户的反洗钱风险等级划分未在10个工作日内完成。</w:t>
      </w:r>
    </w:p>
    <w:p>
      <w:pPr>
        <w:keepNext w:val="0"/>
        <w:keepLines w:val="0"/>
        <w:pageBreakBefore w:val="0"/>
        <w:kinsoku/>
        <w:wordWrap/>
        <w:overflowPunct/>
        <w:topLinePunct w:val="0"/>
        <w:autoSpaceDE/>
        <w:autoSpaceDN/>
        <w:bidi w:val="0"/>
        <w:adjustRightInd/>
        <w:snapToGrid/>
        <w:spacing w:line="560" w:lineRule="exact"/>
        <w:ind w:firstLine="643" w:firstLineChars="200"/>
        <w:textAlignment w:val="auto"/>
        <w:rPr>
          <w:rFonts w:hint="eastAsia" w:ascii="楷体_GB2312" w:hAnsi="楷体_GB2312" w:eastAsia="楷体_GB2312" w:cs="楷体_GB2312"/>
          <w:b/>
          <w:bCs/>
          <w:color w:val="000000"/>
          <w:sz w:val="32"/>
          <w:szCs w:val="32"/>
          <w:lang w:eastAsia="zh-CN"/>
        </w:rPr>
      </w:pPr>
      <w:r>
        <w:rPr>
          <w:rFonts w:hint="eastAsia" w:ascii="楷体_GB2312" w:hAnsi="楷体_GB2312" w:eastAsia="楷体_GB2312" w:cs="楷体_GB2312"/>
          <w:b/>
          <w:bCs/>
          <w:color w:val="000000"/>
          <w:sz w:val="32"/>
          <w:szCs w:val="32"/>
        </w:rPr>
        <w:t>（三）部分高风险客户定期审核超期</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公司《反洗钱操作指引》规定，营业部应在收到风险等级定期审核流程的10个工作日内完成，高风险客户至少每半年审核一次。</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审计发现，营业部部分高风险客户定期审核流程未在规定时间内提交，导致高风险客户定期审核超期。</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b w:val="0"/>
          <w:bCs/>
          <w:sz w:val="32"/>
          <w:szCs w:val="32"/>
        </w:rPr>
      </w:pPr>
      <w:r>
        <w:rPr>
          <w:rFonts w:hint="eastAsia" w:ascii="黑体" w:hAnsi="黑体" w:eastAsia="黑体" w:cs="黑体"/>
          <w:b w:val="0"/>
          <w:bCs/>
          <w:sz w:val="32"/>
          <w:szCs w:val="32"/>
        </w:rPr>
        <w:t>三、审计意见及整改要求</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经审计，未发现上海浦东新区启帆路证券营业部反洗钱工作存在重大违法违规事项或重大内控缺陷，但仍然发现存在部分问题。</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针对审计发现的问题，现提出以下审计意见及整改要求：</w:t>
      </w:r>
    </w:p>
    <w:p>
      <w:pPr>
        <w:keepNext w:val="0"/>
        <w:keepLines w:val="0"/>
        <w:pageBreakBefore w:val="0"/>
        <w:kinsoku/>
        <w:wordWrap/>
        <w:overflowPunct/>
        <w:topLinePunct w:val="0"/>
        <w:autoSpaceDE/>
        <w:autoSpaceDN/>
        <w:bidi w:val="0"/>
        <w:adjustRightInd/>
        <w:snapToGrid/>
        <w:spacing w:line="560" w:lineRule="exact"/>
        <w:ind w:firstLine="643" w:firstLineChars="200"/>
        <w:textAlignment w:val="auto"/>
        <w:rPr>
          <w:rFonts w:hint="eastAsia" w:ascii="楷体_GB2312" w:hAnsi="楷体_GB2312" w:eastAsia="楷体_GB2312" w:cs="楷体_GB2312"/>
          <w:b/>
          <w:bCs/>
          <w:color w:val="000000"/>
          <w:sz w:val="32"/>
          <w:szCs w:val="32"/>
          <w:lang w:eastAsia="zh-CN"/>
        </w:rPr>
      </w:pPr>
      <w:r>
        <w:rPr>
          <w:rFonts w:hint="eastAsia" w:ascii="楷体_GB2312" w:hAnsi="楷体_GB2312" w:eastAsia="楷体_GB2312" w:cs="楷体_GB2312"/>
          <w:b/>
          <w:bCs/>
          <w:color w:val="000000"/>
          <w:sz w:val="32"/>
          <w:szCs w:val="32"/>
        </w:rPr>
        <w:t>（一）应加强对反洗钱监管规定和公司反洗钱制度的学习，确保员工熟练掌握反洗钱各项工作要求。</w:t>
      </w:r>
    </w:p>
    <w:p>
      <w:pPr>
        <w:keepNext w:val="0"/>
        <w:keepLines w:val="0"/>
        <w:pageBreakBefore w:val="0"/>
        <w:kinsoku/>
        <w:wordWrap/>
        <w:overflowPunct/>
        <w:topLinePunct w:val="0"/>
        <w:autoSpaceDE/>
        <w:autoSpaceDN/>
        <w:bidi w:val="0"/>
        <w:adjustRightInd/>
        <w:snapToGrid/>
        <w:spacing w:line="560" w:lineRule="exact"/>
        <w:ind w:firstLine="643" w:firstLineChars="200"/>
        <w:textAlignment w:val="auto"/>
        <w:rPr>
          <w:rFonts w:hint="eastAsia" w:ascii="楷体_GB2312" w:hAnsi="楷体_GB2312" w:eastAsia="楷体_GB2312" w:cs="楷体_GB2312"/>
          <w:b/>
          <w:bCs/>
          <w:color w:val="000000"/>
          <w:sz w:val="32"/>
          <w:szCs w:val="32"/>
          <w:lang w:eastAsia="zh-CN"/>
        </w:rPr>
      </w:pPr>
      <w:r>
        <w:rPr>
          <w:rFonts w:hint="eastAsia" w:ascii="楷体_GB2312" w:hAnsi="楷体_GB2312" w:eastAsia="楷体_GB2312" w:cs="楷体_GB2312"/>
          <w:b/>
          <w:bCs/>
          <w:color w:val="000000"/>
          <w:sz w:val="32"/>
          <w:szCs w:val="32"/>
        </w:rPr>
        <w:t>（二）应勤勉尽责、主动管理，切实提升营业部反洗钱工作的合规性和有效性。</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你单位应认真制定整改计划，明确问题的整改责任人和整改期限，切实采取有效措施落实整改，并能举一反三，杜绝同类问题的反复出现。审计中心将持续跟踪整改情况，并视情况采取后续审计措施。</w:t>
      </w:r>
    </w:p>
    <w:p>
      <w:pPr>
        <w:keepNext w:val="0"/>
        <w:keepLines w:val="0"/>
        <w:pageBreakBefore w:val="0"/>
        <w:kinsoku/>
        <w:wordWrap/>
        <w:overflowPunct/>
        <w:topLinePunct w:val="0"/>
        <w:autoSpaceDE/>
        <w:autoSpaceDN/>
        <w:bidi w:val="0"/>
        <w:adjustRightInd/>
        <w:snapToGrid/>
        <w:spacing w:line="560" w:lineRule="exact"/>
        <w:ind w:firstLine="640" w:firstLineChars="200"/>
        <w:jc w:val="right"/>
        <w:textAlignment w:val="auto"/>
        <w:rPr>
          <w:rFonts w:hint="default"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东方证券股份有限公司</w:t>
      </w:r>
    </w:p>
    <w:p>
      <w:pPr>
        <w:keepNext w:val="0"/>
        <w:keepLines w:val="0"/>
        <w:pageBreakBefore w:val="0"/>
        <w:kinsoku/>
        <w:wordWrap/>
        <w:overflowPunct/>
        <w:topLinePunct w:val="0"/>
        <w:autoSpaceDE/>
        <w:autoSpaceDN/>
        <w:bidi w:val="0"/>
        <w:adjustRightInd/>
        <w:snapToGrid/>
        <w:spacing w:line="560" w:lineRule="exact"/>
        <w:ind w:firstLine="640" w:firstLineChars="200"/>
        <w:jc w:val="center"/>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2025年12月26日</w:t>
      </w:r>
    </w:p>
    <w:sectPr>
      <w:footerReference r:id="rId5" w:type="default"/>
      <w:pgSz w:w="11906" w:h="16838"/>
      <w:pgMar w:top="2098" w:right="1474" w:bottom="1984" w:left="1587" w:header="851" w:footer="1474"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等线 Light">
    <w:panose1 w:val="02010600030101010101"/>
    <w:charset w:val="86"/>
    <w:family w:val="auto"/>
    <w:pitch w:val="default"/>
    <w:sig w:usb0="A00002BF" w:usb1="38CF7CFA" w:usb2="00000016" w:usb3="00000000" w:csb0="0004000F" w:csb1="00000000"/>
  </w:font>
  <w:font w:name="方正小标宋简体">
    <w:panose1 w:val="03000509000000000000"/>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hint="eastAsia" w:ascii="宋体" w:hAnsi="宋体" w:eastAsia="宋体" w:cs="宋体"/>
                              <w:sz w:val="28"/>
                              <w:szCs w:val="28"/>
                            </w:rPr>
                          </w:pPr>
                          <w:r>
                            <w:rPr>
                              <w:rFonts w:hint="eastAsia" w:ascii="宋体" w:hAnsi="宋体" w:cs="宋体"/>
                              <w:sz w:val="28"/>
                              <w:szCs w:val="28"/>
                            </w:rPr>
                            <w:t xml:space="preserve">— </w:t>
                          </w:r>
                          <w:r>
                            <w:rPr>
                              <w:rFonts w:hint="eastAsia" w:ascii="宋体" w:hAnsi="宋体" w:cs="宋体"/>
                              <w:sz w:val="28"/>
                              <w:szCs w:val="28"/>
                            </w:rPr>
                            <w:fldChar w:fldCharType="begin"/>
                          </w:r>
                          <w:r>
                            <w:rPr>
                              <w:rFonts w:hint="eastAsia" w:ascii="宋体" w:hAnsi="宋体" w:cs="宋体"/>
                              <w:sz w:val="28"/>
                              <w:szCs w:val="28"/>
                            </w:rPr>
                            <w:instrText xml:space="preserve"> PAGE  \* MERGEFORMAT </w:instrText>
                          </w:r>
                          <w:r>
                            <w:rPr>
                              <w:rFonts w:hint="eastAsia" w:ascii="宋体" w:hAnsi="宋体" w:cs="宋体"/>
                              <w:sz w:val="28"/>
                              <w:szCs w:val="28"/>
                            </w:rPr>
                            <w:fldChar w:fldCharType="separate"/>
                          </w:r>
                          <w:r>
                            <w:rPr>
                              <w:rFonts w:hint="eastAsia" w:ascii="宋体" w:hAnsi="宋体" w:cs="宋体"/>
                              <w:sz w:val="28"/>
                              <w:szCs w:val="28"/>
                            </w:rPr>
                            <w:t>1</w:t>
                          </w:r>
                          <w:r>
                            <w:rPr>
                              <w:rFonts w:hint="eastAsia" w:ascii="宋体" w:hAnsi="宋体" w:cs="宋体"/>
                              <w:sz w:val="28"/>
                              <w:szCs w:val="28"/>
                            </w:rPr>
                            <w:fldChar w:fldCharType="end"/>
                          </w:r>
                          <w:r>
                            <w:rPr>
                              <w:rFonts w:hint="eastAsia" w:ascii="宋体" w:hAnsi="宋体" w:cs="宋体"/>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3"/>
                      <w:rPr>
                        <w:rFonts w:hint="eastAsia" w:ascii="宋体" w:hAnsi="宋体" w:eastAsia="宋体" w:cs="宋体"/>
                        <w:sz w:val="28"/>
                        <w:szCs w:val="28"/>
                      </w:rPr>
                    </w:pPr>
                    <w:r>
                      <w:rPr>
                        <w:rFonts w:hint="eastAsia" w:ascii="宋体" w:hAnsi="宋体" w:cs="宋体"/>
                        <w:sz w:val="28"/>
                        <w:szCs w:val="28"/>
                      </w:rPr>
                      <w:t xml:space="preserve">— </w:t>
                    </w:r>
                    <w:r>
                      <w:rPr>
                        <w:rFonts w:hint="eastAsia" w:ascii="宋体" w:hAnsi="宋体" w:cs="宋体"/>
                        <w:sz w:val="28"/>
                        <w:szCs w:val="28"/>
                      </w:rPr>
                      <w:fldChar w:fldCharType="begin"/>
                    </w:r>
                    <w:r>
                      <w:rPr>
                        <w:rFonts w:hint="eastAsia" w:ascii="宋体" w:hAnsi="宋体" w:cs="宋体"/>
                        <w:sz w:val="28"/>
                        <w:szCs w:val="28"/>
                      </w:rPr>
                      <w:instrText xml:space="preserve"> PAGE  \* MERGEFORMAT </w:instrText>
                    </w:r>
                    <w:r>
                      <w:rPr>
                        <w:rFonts w:hint="eastAsia" w:ascii="宋体" w:hAnsi="宋体" w:cs="宋体"/>
                        <w:sz w:val="28"/>
                        <w:szCs w:val="28"/>
                      </w:rPr>
                      <w:fldChar w:fldCharType="separate"/>
                    </w:r>
                    <w:r>
                      <w:rPr>
                        <w:rFonts w:hint="eastAsia" w:ascii="宋体" w:hAnsi="宋体" w:cs="宋体"/>
                        <w:sz w:val="28"/>
                        <w:szCs w:val="28"/>
                      </w:rPr>
                      <w:t>1</w:t>
                    </w:r>
                    <w:r>
                      <w:rPr>
                        <w:rFonts w:hint="eastAsia" w:ascii="宋体" w:hAnsi="宋体" w:cs="宋体"/>
                        <w:sz w:val="28"/>
                        <w:szCs w:val="28"/>
                      </w:rPr>
                      <w:fldChar w:fldCharType="end"/>
                    </w:r>
                    <w:r>
                      <w:rPr>
                        <w:rFonts w:hint="eastAsia" w:ascii="宋体" w:hAnsi="宋体" w:cs="宋体"/>
                        <w:sz w:val="28"/>
                        <w:szCs w:val="28"/>
                      </w:rP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00026"/>
    <w:rsid w:val="049304BA"/>
    <w:rsid w:val="05BB4295"/>
    <w:rsid w:val="0A177BA1"/>
    <w:rsid w:val="0AF23988"/>
    <w:rsid w:val="0E655144"/>
    <w:rsid w:val="13B241A3"/>
    <w:rsid w:val="173F5FDF"/>
    <w:rsid w:val="18F438E8"/>
    <w:rsid w:val="273965BC"/>
    <w:rsid w:val="37B64644"/>
    <w:rsid w:val="3AFD0450"/>
    <w:rsid w:val="3B5B1523"/>
    <w:rsid w:val="3DF3056F"/>
    <w:rsid w:val="41B87CE4"/>
    <w:rsid w:val="44997F99"/>
    <w:rsid w:val="460E5326"/>
    <w:rsid w:val="4E1D177A"/>
    <w:rsid w:val="5A1C1718"/>
    <w:rsid w:val="5C7E16D5"/>
    <w:rsid w:val="5D5C588F"/>
    <w:rsid w:val="66732288"/>
    <w:rsid w:val="67275E7C"/>
    <w:rsid w:val="69086574"/>
    <w:rsid w:val="6A381CB7"/>
    <w:rsid w:val="6F243A81"/>
    <w:rsid w:val="70046EAE"/>
    <w:rsid w:val="70F84507"/>
    <w:rsid w:val="74EC21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99"/>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itle"/>
    <w:basedOn w:val="1"/>
    <w:next w:val="1"/>
    <w:qFormat/>
    <w:uiPriority w:val="0"/>
    <w:pPr>
      <w:spacing w:line="360" w:lineRule="auto"/>
      <w:jc w:val="center"/>
      <w:outlineLvl w:val="0"/>
    </w:pPr>
    <w:rPr>
      <w:rFonts w:ascii="黑体" w:hAnsi="等线 Light" w:eastAsia="黑体" w:cs="Times New Roman"/>
      <w:bCs/>
      <w:sz w:val="36"/>
      <w:szCs w:val="32"/>
    </w:rPr>
  </w:style>
  <w:style w:type="character" w:styleId="8">
    <w:name w:val="annotation reference"/>
    <w:qFormat/>
    <w:uiPriority w:val="99"/>
    <w:rPr>
      <w:sz w:val="21"/>
      <w:szCs w:val="21"/>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11</TotalTime>
  <ScaleCrop>false</ScaleCrop>
  <LinksUpToDate>false</LinksUpToDate>
  <CharactersWithSpaces>0</CharactersWithSpaces>
  <Application>WPS Office_11.8.6.10973_F1E327BC-269C-435d-A152-05C5408002CA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2023-02-22T08:13:00Z</dcterms:created>
  <dc:creator>gaosiwen</dc:creator>
  <cp:lastModifiedBy>yanghaoming</cp:lastModifiedBy>
  <dcterms:modified xsi:type="dcterms:W3CDTF">2026-03-31T08:39:01Z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2052-11.8.6.10973</vt:lpwstr>
  </property>
  <property fmtid="{D5CDD505-2E9C-101B-9397-08002B2CF9AE}" pid="3" name="ICV">
    <vt:lpwstr>E16C45A877F4478883E132610C6BCFB0_13</vt:lpwstr>
  </property>
</Properties>
</file>