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E/>
        <w:autoSpaceDN/>
        <w:bidi w:val="0"/>
        <w:adjustRightInd/>
        <w:snapToGrid/>
        <w:spacing w:beforeAutospacing="0" w:afterAutospacing="0" w:line="660" w:lineRule="exact"/>
        <w:jc w:val="center"/>
        <w:textAlignment w:val="auto"/>
        <w:outlineLvl w:val="0"/>
        <w:rPr>
          <w:rFonts w:hint="eastAsia" w:ascii="方正小标宋简体" w:hAnsi="方正小标宋简体" w:eastAsia="方正小标宋简体" w:cs="方正小标宋简体"/>
          <w:b w:val="0"/>
          <w:bCs w:val="0"/>
          <w:color w:val="auto"/>
          <w:kern w:val="0"/>
          <w:sz w:val="44"/>
          <w:szCs w:val="44"/>
          <w:highlight w:val="none"/>
          <w:lang w:val="en-US" w:eastAsia="zh-CN"/>
        </w:rPr>
      </w:pPr>
      <w:r/>
    </w:p>
    <w:p>
      <w:pPr>
        <w:keepNext w:val="0"/>
        <w:keepLines w:val="0"/>
        <w:pageBreakBefore w:val="0"/>
        <w:widowControl/>
        <w:kinsoku/>
        <w:wordWrap/>
        <w:overflowPunct/>
        <w:topLinePunct w:val="0"/>
        <w:autoSpaceDE/>
        <w:autoSpaceDN/>
        <w:bidi w:val="0"/>
        <w:adjustRightInd/>
        <w:snapToGrid/>
        <w:spacing w:beforeAutospacing="0" w:afterAutospacing="0" w:line="660" w:lineRule="exact"/>
        <w:jc w:val="center"/>
        <w:textAlignment w:val="auto"/>
        <w:outlineLvl w:val="0"/>
        <w:rPr>
          <w:rFonts w:hint="eastAsia" w:ascii="方正小标宋简体" w:hAnsi="方正小标宋简体" w:eastAsia="方正小标宋简体" w:cs="方正小标宋简体"/>
          <w:b w:val="0"/>
          <w:bCs w:val="0"/>
          <w:color w:val="auto"/>
          <w:kern w:val="0"/>
          <w:sz w:val="44"/>
          <w:szCs w:val="44"/>
          <w:highlight w:val="none"/>
          <w:lang w:val="en-US" w:eastAsia="zh-CN"/>
        </w:rPr>
      </w:pPr>
      <w:r>
        <w:rPr>
          <w:rFonts w:hint="eastAsia" w:ascii="方正小标宋简体" w:hAnsi="方正小标宋简体" w:eastAsia="方正小标宋简体" w:cs="方正小标宋简体"/>
          <w:b w:val="0"/>
          <w:bCs w:val="0"/>
          <w:color w:val="auto"/>
          <w:kern w:val="0"/>
          <w:sz w:val="44"/>
          <w:szCs w:val="44"/>
          <w:highlight w:val="none"/>
          <w:lang w:val="en-US" w:eastAsia="zh-CN"/>
        </w:rPr>
        <w:t>上海浦东新区启帆路证券营业部</w:t>
      </w:r>
    </w:p>
    <w:p>
      <w:pPr>
        <w:pStyle w:val="4"/>
        <w:keepNext w:val="0"/>
        <w:keepLines w:val="0"/>
        <w:pageBreakBefore w:val="0"/>
        <w:widowControl w:val="0"/>
        <w:kinsoku/>
        <w:wordWrap/>
        <w:overflowPunct/>
        <w:topLinePunct w:val="0"/>
        <w:autoSpaceDE/>
        <w:autoSpaceDN/>
        <w:bidi w:val="0"/>
        <w:adjustRightInd/>
        <w:snapToGrid/>
        <w:spacing w:beforeLines="0" w:afterLines="0" w:line="660" w:lineRule="exact"/>
        <w:textAlignment w:val="auto"/>
        <w:rPr>
          <w:rFonts w:hint="eastAsia" w:ascii="方正小标宋简体" w:hAnsi="方正小标宋简体" w:eastAsia="方正小标宋简体" w:cs="方正小标宋简体"/>
          <w:b w:val="0"/>
          <w:bCs w:val="0"/>
          <w:color w:val="auto"/>
          <w:kern w:val="0"/>
          <w:sz w:val="24"/>
          <w:szCs w:val="24"/>
          <w:highlight w:val="none"/>
        </w:rPr>
      </w:pPr>
      <w:r>
        <w:rPr>
          <w:rFonts w:hint="eastAsia" w:ascii="方正小标宋简体" w:hAnsi="方正小标宋简体" w:eastAsia="方正小标宋简体" w:cs="方正小标宋简体"/>
          <w:b w:val="0"/>
          <w:bCs w:val="0"/>
          <w:color w:val="auto"/>
          <w:kern w:val="2"/>
          <w:sz w:val="44"/>
          <w:szCs w:val="44"/>
          <w:highlight w:val="none"/>
          <w:lang w:val="en-US" w:eastAsia="zh-CN" w:bidi="ar-SA"/>
        </w:rPr>
        <w:t>常规审计报告</w:t>
      </w:r>
    </w:p>
    <w:p>
      <w:pPr>
        <w:keepNext w:val="0"/>
        <w:keepLines w:val="0"/>
        <w:pageBreakBefore w:val="0"/>
        <w:widowControl w:val="0"/>
        <w:kinsoku/>
        <w:wordWrap/>
        <w:overflowPunct/>
        <w:topLinePunct w:val="0"/>
        <w:autoSpaceDE/>
        <w:autoSpaceDN/>
        <w:bidi w:val="0"/>
        <w:adjustRightInd/>
        <w:snapToGrid/>
        <w:spacing w:line="660" w:lineRule="exact"/>
        <w:jc w:val="left"/>
        <w:textAlignment w:val="auto"/>
        <w:rPr>
          <w:rFonts w:hint="eastAsia" w:ascii="仿宋_GB2312" w:hAnsi="仿宋_GB2312" w:eastAsia="仿宋_GB2312" w:cs="仿宋_GB2312"/>
          <w:color w:val="auto"/>
          <w:sz w:val="32"/>
          <w:szCs w:val="32"/>
          <w:highlight w:val="none"/>
        </w:rPr>
      </w:pPr>
      <w:r/>
    </w:p>
    <w:p>
      <w:pPr>
        <w:keepNext w:val="0"/>
        <w:keepLines w:val="0"/>
        <w:pageBreakBefore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lang w:val="en-US" w:eastAsia="zh-CN"/>
        </w:rPr>
        <w:t>上海浦东新区启帆路证券营业部：</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按照审计工作安排，审计中心于2025年11月成立审计组，对你单位2023年9月至2025年10月期间（以下简称“审计期”）经营活动和内部控制的适当性、合法性和有效性等情况进行了审计。审计组依据相关监管规定及公司制度要求，实施了审核、查询、访谈、分析性复核等必要的审计程序。审计工作结束后，审计中心向你单位发出了《审计征求意见书》，并得到了确认和反馈。现出具报告如下：</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一、基本情况</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（一）概况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上海浦东新区启帆路证券营业部位于上海市浦东新区启帆路517号1层140号商铺、启帆路515号南楼B座1517室，营业面积428平方米。截至审计期末，营业部共有正式员工7名。卢俊同志自2021年6月至2025年10月任副总经理（主持工作）；2025年10月，于国威同志代为履行营业部负责人职务，任上海第一分公司（筹）负责人。2025年11月18日，公司发布《关于设立上海第一分公司的通知》，上海浦东新区启帆路证券营业部升格为上海第一分公司。</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（二）经营情况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营业部2023年-2025年9月主要经营情况详见下表：</w:t>
      </w:r>
    </w:p>
    <w:p>
      <w:pPr>
        <w:keepNext w:val="0"/>
        <w:keepLines w:val="0"/>
        <w:pageBreakBefore w:val="0"/>
        <w:tabs>
          <w:tab w:val="left" w:pos="900"/>
        </w:tabs>
        <w:kinsoku/>
        <w:wordWrap/>
        <w:overflowPunct/>
        <w:topLinePunct w:val="0"/>
        <w:autoSpaceDE/>
        <w:autoSpaceDN/>
        <w:bidi w:val="0"/>
        <w:adjustRightInd/>
        <w:snapToGrid/>
        <w:textAlignment w:val="auto"/>
        <w:rPr>
          <w:rFonts w:hint="eastAsia" w:ascii="仿宋_GB2312" w:hAnsi="仿宋_GB2312" w:eastAsia="仿宋_GB2312" w:cs="仿宋_GB2312"/>
          <w:color w:val="auto"/>
          <w:szCs w:val="21"/>
        </w:rPr>
      </w:pPr>
      <w:r>
        <w:rPr>
          <w:rFonts w:hint="eastAsia" w:ascii="仿宋_GB2312" w:hAnsi="仿宋_GB2312" w:eastAsia="仿宋_GB2312" w:cs="仿宋_GB2312"/>
          <w:b/>
          <w:color w:val="auto"/>
          <w:szCs w:val="21"/>
          <w:u w:val="single"/>
        </w:rPr>
        <w:t>表1：财务指标</w:t>
        <w:tab/>
        <w:t>单位：万元</w:t>
      </w:r>
    </w:p>
    <w:tbl>
      <w:tblPr>
        <w:tblStyle w:val="10"/>
        <w:tblW w:w="485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6"/>
        <w:gridCol w:w="1948"/>
        <w:gridCol w:w="1948"/>
        <w:gridCol w:w="1948"/>
      </w:tblGrid>
      <w:tr>
        <w:trPr>
          <w:tblHeader/>
        </w:trPr>
        <w:tc>
          <w:tcPr>
            <w:tcW w:w="2946"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sz w:val="20"/>
              </w:rPr>
            </w:pPr>
            <w:r/>
            <w:r>
              <w:rPr>
                <w:rFonts w:hint="eastAsia" w:ascii="宋体" w:hAnsi="宋体" w:eastAsia="宋体" w:cs="宋体"/>
                <w:b/>
                <w:bCs/>
                <w:color w:val="auto"/>
                <w:sz w:val="20"/>
              </w:rPr>
              <w:t>项目</w:t>
            </w:r>
          </w:p>
        </w:tc>
        <w:tc>
          <w:tcPr>
            <w:tcW w:w="1948"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color w:val="auto"/>
                <w:sz w:val="20"/>
                <w:szCs w:val="20"/>
              </w:rPr>
            </w:pPr>
            <w:r/>
            <w:r>
              <w:rPr>
                <w:rFonts w:hint="eastAsia" w:ascii="宋体" w:hAnsi="宋体" w:eastAsia="宋体" w:cs="宋体"/>
                <w:b/>
                <w:color w:val="auto"/>
                <w:sz w:val="20"/>
                <w:szCs w:val="20"/>
              </w:rPr>
              <w:t>2023年完成数</w:t>
            </w:r>
          </w:p>
        </w:tc>
        <w:tc>
          <w:tcPr>
            <w:tcW w:w="1948"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lang w:val="en-US" w:eastAsia="zh-CN"/>
              </w:rPr>
            </w:pPr>
            <w:r/>
            <w:r>
              <w:rPr>
                <w:rFonts w:hint="eastAsia" w:ascii="宋体" w:hAnsi="宋体" w:eastAsia="宋体" w:cs="宋体"/>
                <w:b/>
                <w:color w:val="auto"/>
                <w:sz w:val="20"/>
                <w:szCs w:val="20"/>
              </w:rPr>
              <w:t>2024年完成数</w:t>
            </w:r>
          </w:p>
        </w:tc>
        <w:tc>
          <w:tcPr>
            <w:tcW w:w="1948"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kern w:val="2"/>
                <w:sz w:val="20"/>
                <w:szCs w:val="20"/>
                <w:lang w:val="en-US" w:eastAsia="zh-CN" w:bidi="ar-SA"/>
              </w:rPr>
            </w:pPr>
            <w:r/>
            <w:r>
              <w:rPr>
                <w:rFonts w:hint="eastAsia" w:ascii="宋体" w:hAnsi="宋体" w:eastAsia="宋体" w:cs="宋体"/>
                <w:b/>
                <w:color w:val="auto"/>
                <w:sz w:val="20"/>
                <w:szCs w:val="20"/>
              </w:rPr>
              <w:t>2025年1-9月完成数</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考核收入</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731.97</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809.34</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674.37</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其中：代理买卖证券业务净收入</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248.16</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315.18</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348.75</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客户保证金利息净收入</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144.27</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161.20</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106.63</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产品相关收入</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161.39</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62.27</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62.68</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两融息差净收入</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97.43</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103.87</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103.37</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其他收入</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80.71</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166.82</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52.92</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业务管理费</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683.56</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517.34</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418.92</w:t>
            </w:r>
          </w:p>
        </w:tc>
      </w:tr>
      <w:tr>
        <w:tc>
          <w:tcPr>
            <w:tcW w:w="2946"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考核利润</w:t>
            </w:r>
          </w:p>
        </w:tc>
        <w:tc>
          <w:tcPr>
            <w:tcW w:w="1948" w:type="dxa"/>
            <w:tcBorders>
              <w:tl2br w:val="nil"/>
              <w:tr2bl w:val="nil"/>
            </w:tcBorders>
            <w:noWrap/>
            <w:vAlign w:val="bottom"/>
          </w:tcPr>
          <w:p>
            <w:pPr>
              <w:keepNext w:val="0"/>
              <w:keepLines w:val="0"/>
              <w:widowControl/>
              <w:suppressLineNumbers w:val="0"/>
              <w:spacing w:before="0" w:beforeAutospacing="0" w:after="0" w:afterAutospacing="0"/>
              <w:ind w:left="0" w:leftChars="0" w:right="0" w:rightChars="0"/>
              <w:jc w:val="center"/>
              <w:textAlignment w:val="bottom"/>
              <w:rPr>
                <w:rFonts w:hint="default" w:ascii="宋体" w:hAnsi="宋体" w:eastAsia="宋体" w:cs="宋体"/>
                <w:i w:val="0"/>
                <w:iCs w:val="0"/>
                <w:color w:val="auto"/>
                <w:kern w:val="0"/>
                <w:sz w:val="20"/>
                <w:szCs w:val="20"/>
                <w:u w:val="none"/>
                <w:lang w:val="en-US" w:eastAsia="zh-CN" w:bidi="ar"/>
              </w:rPr>
            </w:pPr>
            <w:r/>
            <w:r>
              <w:t>45.72</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287.54</w:t>
            </w:r>
          </w:p>
        </w:tc>
        <w:tc>
          <w:tcPr>
            <w:tcW w:w="1948"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250.89</w:t>
            </w:r>
          </w:p>
        </w:tc>
      </w:tr>
    </w:tbl>
    <w:p>
      <w:pPr>
        <w:keepNext w:val="0"/>
        <w:keepLines w:val="0"/>
        <w:pageBreakBefore w:val="0"/>
        <w:widowControl/>
        <w:tabs>
          <w:tab w:val="left" w:pos="567"/>
        </w:tabs>
        <w:kinsoku/>
        <w:wordWrap/>
        <w:overflowPunct/>
        <w:topLinePunct w:val="0"/>
        <w:autoSpaceDE/>
        <w:autoSpaceDN/>
        <w:bidi w:val="0"/>
        <w:adjustRightInd/>
        <w:snapToGrid/>
        <w:ind w:firstLine="0" w:firstLineChars="0"/>
        <w:jc w:val="left"/>
        <w:textAlignment w:val="auto"/>
        <w:rPr>
          <w:rFonts w:hint="eastAsia" w:ascii="仿宋_GB2312" w:hAnsi="仿宋_GB2312" w:eastAsia="仿宋_GB2312" w:cs="仿宋_GB2312"/>
          <w:b w:val="0"/>
          <w:bCs/>
          <w:color w:val="auto"/>
          <w:szCs w:val="21"/>
          <w:u w:val="none"/>
          <w:lang w:val="en-US" w:eastAsia="zh-CN"/>
        </w:rPr>
      </w:pPr>
      <w:r>
        <w:rPr>
          <w:rFonts w:hint="eastAsia" w:ascii="仿宋_GB2312" w:hAnsi="仿宋_GB2312" w:eastAsia="仿宋_GB2312" w:cs="仿宋_GB2312"/>
          <w:b w:val="0"/>
          <w:bCs/>
          <w:color w:val="auto"/>
          <w:szCs w:val="21"/>
          <w:u w:val="none"/>
          <w:lang w:val="en-US" w:eastAsia="zh-CN"/>
        </w:rPr>
        <w:t>备注：代理买卖证券业务净收入扣除经纪人提成</w:t>
      </w:r>
    </w:p>
    <w:p>
      <w:pPr>
        <w:keepNext w:val="0"/>
        <w:keepLines w:val="0"/>
        <w:pageBreakBefore w:val="0"/>
        <w:widowControl/>
        <w:tabs>
          <w:tab w:val="left" w:pos="567"/>
        </w:tabs>
        <w:kinsoku/>
        <w:wordWrap/>
        <w:overflowPunct/>
        <w:topLinePunct w:val="0"/>
        <w:autoSpaceDE/>
        <w:autoSpaceDN/>
        <w:bidi w:val="0"/>
        <w:adjustRightInd/>
        <w:snapToGrid/>
        <w:ind w:firstLine="0" w:firstLineChars="0"/>
        <w:jc w:val="left"/>
        <w:textAlignment w:val="auto"/>
        <w:rPr>
          <w:rFonts w:ascii="仿宋" w:hAnsi="仿宋" w:eastAsia="仿宋"/>
          <w:b/>
          <w:color w:val="auto"/>
          <w:szCs w:val="21"/>
        </w:rPr>
      </w:pPr>
      <w:r>
        <w:rPr>
          <w:rFonts w:hint="eastAsia" w:ascii="仿宋_GB2312" w:hAnsi="仿宋_GB2312" w:eastAsia="仿宋_GB2312" w:cs="仿宋_GB2312"/>
          <w:b/>
          <w:color w:val="auto"/>
          <w:szCs w:val="21"/>
          <w:u w:val="single"/>
        </w:rPr>
        <w:t>表2：业绩指标</w:t>
      </w:r>
    </w:p>
    <w:tbl>
      <w:tblPr>
        <w:tblStyle w:val="10"/>
        <w:tblW w:w="48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2"/>
        <w:gridCol w:w="1953"/>
        <w:gridCol w:w="1953"/>
        <w:gridCol w:w="1953"/>
      </w:tblGrid>
      <w:tr>
        <w:trPr>
          <w:tblHeader/>
        </w:trPr>
        <w:tc>
          <w:tcPr>
            <w:tcW w:w="2932"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sz w:val="20"/>
              </w:rPr>
            </w:pPr>
            <w:r/>
            <w:r>
              <w:rPr>
                <w:rFonts w:hint="eastAsia" w:ascii="宋体" w:hAnsi="宋体" w:eastAsia="宋体" w:cs="宋体"/>
                <w:b/>
                <w:bCs/>
                <w:color w:val="auto"/>
                <w:sz w:val="20"/>
              </w:rPr>
              <w:t>项目</w:t>
            </w:r>
          </w:p>
        </w:tc>
        <w:tc>
          <w:tcPr>
            <w:tcW w:w="1953"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2023年完成数</w:t>
            </w:r>
          </w:p>
        </w:tc>
        <w:tc>
          <w:tcPr>
            <w:tcW w:w="1953"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kern w:val="2"/>
                <w:sz w:val="20"/>
                <w:szCs w:val="20"/>
                <w:lang w:val="en-US" w:eastAsia="zh-CN" w:bidi="ar-SA"/>
              </w:rPr>
            </w:pPr>
            <w:r/>
            <w:r>
              <w:rPr>
                <w:rFonts w:hint="eastAsia" w:ascii="宋体" w:hAnsi="宋体" w:eastAsia="宋体" w:cs="宋体"/>
                <w:b/>
                <w:color w:val="auto"/>
                <w:sz w:val="20"/>
                <w:szCs w:val="20"/>
              </w:rPr>
              <w:t>2024年完成数</w:t>
            </w:r>
          </w:p>
        </w:tc>
        <w:tc>
          <w:tcPr>
            <w:tcW w:w="1953"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2025年1-9月完成数</w:t>
            </w:r>
          </w:p>
        </w:tc>
      </w:tr>
      <w:tr>
        <w:tc>
          <w:tcPr>
            <w:tcW w:w="2932"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客户资产规模（万元）</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116,956.61</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151,062.90</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186,972.25</w:t>
            </w:r>
          </w:p>
        </w:tc>
      </w:tr>
      <w:tr>
        <w:tc>
          <w:tcPr>
            <w:tcW w:w="2932"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股基交易量（万元）</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1,268,795.65</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1,585,690.87</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2,455,633.53</w:t>
            </w:r>
          </w:p>
        </w:tc>
      </w:tr>
      <w:tr>
        <w:tc>
          <w:tcPr>
            <w:tcW w:w="2932"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非货币产品保有量（万元）</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16,091.96</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15,208.89</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16,635.01</w:t>
            </w:r>
          </w:p>
        </w:tc>
      </w:tr>
      <w:tr>
        <w:tc>
          <w:tcPr>
            <w:tcW w:w="2932"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bCs/>
                <w:color w:val="auto"/>
                <w:sz w:val="20"/>
                <w:szCs w:val="24"/>
              </w:rPr>
              <w:t>KPI（百分制）</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30.48</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63.64</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81.12</w:t>
            </w:r>
          </w:p>
        </w:tc>
      </w:tr>
    </w:tbl>
    <w:p>
      <w:pPr>
        <w:keepNext w:val="0"/>
        <w:keepLines w:val="0"/>
        <w:pageBreakBefore w:val="0"/>
        <w:widowControl/>
        <w:tabs>
          <w:tab w:val="left" w:pos="567"/>
        </w:tabs>
        <w:kinsoku/>
        <w:wordWrap/>
        <w:overflowPunct/>
        <w:topLinePunct w:val="0"/>
        <w:autoSpaceDE/>
        <w:autoSpaceDN/>
        <w:bidi w:val="0"/>
        <w:adjustRightInd/>
        <w:snapToGrid/>
        <w:jc w:val="left"/>
        <w:textAlignment w:val="auto"/>
        <w:rPr>
          <w:rFonts w:hint="eastAsia" w:ascii="仿宋" w:hAnsi="仿宋" w:eastAsia="仿宋"/>
          <w:b/>
          <w:color w:val="auto"/>
          <w:szCs w:val="21"/>
        </w:rPr>
      </w:pPr>
      <w:r>
        <w:rPr>
          <w:rFonts w:hint="eastAsia" w:ascii="仿宋_GB2312" w:hAnsi="仿宋_GB2312" w:eastAsia="仿宋_GB2312" w:cs="仿宋_GB2312"/>
          <w:b/>
          <w:color w:val="auto"/>
          <w:szCs w:val="21"/>
          <w:u w:val="single"/>
        </w:rPr>
        <w:t>表3：指标排名情况</w:t>
      </w:r>
    </w:p>
    <w:tbl>
      <w:tblPr>
        <w:tblStyle w:val="10"/>
        <w:tblW w:w="48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5"/>
        <w:gridCol w:w="1953"/>
        <w:gridCol w:w="1953"/>
        <w:gridCol w:w="1953"/>
      </w:tblGrid>
      <w:tr>
        <w:trPr>
          <w:tblHeader/>
        </w:trPr>
        <w:tc>
          <w:tcPr>
            <w:tcW w:w="2935"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sz w:val="20"/>
              </w:rPr>
            </w:pPr>
            <w:r/>
            <w:r>
              <w:rPr>
                <w:rFonts w:hint="eastAsia" w:ascii="宋体" w:hAnsi="宋体" w:eastAsia="宋体" w:cs="宋体"/>
                <w:b/>
                <w:bCs/>
                <w:color w:val="auto"/>
                <w:sz w:val="20"/>
              </w:rPr>
              <w:t>项目</w:t>
            </w:r>
          </w:p>
        </w:tc>
        <w:tc>
          <w:tcPr>
            <w:tcW w:w="1953"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2023年排名</w:t>
            </w:r>
          </w:p>
        </w:tc>
        <w:tc>
          <w:tcPr>
            <w:tcW w:w="1953"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b/>
                <w:bCs/>
                <w:color w:val="auto"/>
                <w:kern w:val="2"/>
                <w:sz w:val="20"/>
                <w:szCs w:val="20"/>
                <w:lang w:val="en-US" w:eastAsia="zh-CN" w:bidi="ar-SA"/>
              </w:rPr>
            </w:pPr>
            <w:r/>
            <w:r>
              <w:rPr>
                <w:rFonts w:hint="eastAsia" w:ascii="宋体" w:hAnsi="宋体" w:eastAsia="宋体" w:cs="宋体"/>
                <w:b/>
                <w:color w:val="auto"/>
                <w:sz w:val="20"/>
                <w:szCs w:val="20"/>
              </w:rPr>
              <w:t>2024年排名</w:t>
            </w:r>
          </w:p>
        </w:tc>
        <w:tc>
          <w:tcPr>
            <w:tcW w:w="1953" w:type="dxa"/>
            <w:tcBorders>
              <w:tl2br w:val="nil"/>
              <w:tr2bl w:val="nil"/>
            </w:tcBorders>
            <w:noWrap w:val="0"/>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宋体" w:hAnsi="宋体" w:eastAsia="宋体" w:cs="宋体"/>
                <w:b/>
                <w:bCs/>
                <w:color w:val="auto"/>
                <w:sz w:val="20"/>
                <w:szCs w:val="20"/>
                <w:lang w:val="en-US" w:eastAsia="zh-CN"/>
              </w:rPr>
            </w:pPr>
            <w:r/>
            <w:r>
              <w:rPr>
                <w:rFonts w:hint="eastAsia" w:ascii="宋体" w:hAnsi="宋体" w:eastAsia="宋体" w:cs="宋体"/>
                <w:b/>
                <w:color w:val="auto"/>
                <w:sz w:val="20"/>
                <w:szCs w:val="20"/>
              </w:rPr>
              <w:t>2025年1-9月排名</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考核收入</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84</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81</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89</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其中：代理买卖证券业务净收入</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83</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82</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86</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产品相关收入</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94</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133</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107</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两融息差净收入</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85</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80</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89</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考核利润</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99</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74</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88</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客户资产规模</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96</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93</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93</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股基交易量</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97</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97</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90</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非货币产品保有量</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89</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91</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90</w:t>
            </w:r>
          </w:p>
        </w:tc>
      </w:tr>
      <w:tr>
        <w:tc>
          <w:tcPr>
            <w:tcW w:w="2935" w:type="dxa"/>
            <w:tcBorders>
              <w:tl2br w:val="nil"/>
              <w:tr2bl w:val="nil"/>
            </w:tcBorders>
            <w:noWrap w:val="0"/>
            <w:vAlign w:val="top"/>
          </w:tcPr>
          <w:p>
            <w:pPr>
              <w:keepNext w:val="0"/>
              <w:keepLines w:val="0"/>
              <w:pageBreakBefore w:val="0"/>
              <w:kinsoku/>
              <w:wordWrap/>
              <w:overflowPunct/>
              <w:topLinePunct w:val="0"/>
              <w:autoSpaceDE/>
              <w:autoSpaceDN/>
              <w:bidi w:val="0"/>
              <w:adjustRightInd/>
              <w:snapToGrid/>
              <w:ind w:firstLine="0" w:firstLineChars="0"/>
              <w:textAlignment w:val="auto"/>
              <w:rPr>
                <w:rFonts w:hint="eastAsia" w:ascii="宋体" w:hAnsi="宋体" w:eastAsia="宋体" w:cs="宋体"/>
                <w:b/>
                <w:bCs/>
                <w:color w:val="auto"/>
                <w:sz w:val="20"/>
                <w:szCs w:val="24"/>
                <w:lang w:eastAsia="zh-CN"/>
              </w:rPr>
            </w:pPr>
            <w:r/>
            <w:r>
              <w:rPr>
                <w:rFonts w:hint="eastAsia" w:ascii="宋体" w:hAnsi="宋体" w:eastAsia="宋体" w:cs="宋体"/>
                <w:b/>
                <w:color w:val="auto"/>
                <w:sz w:val="20"/>
                <w:szCs w:val="20"/>
              </w:rPr>
              <w:t>KPI</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115</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60</w:t>
            </w:r>
          </w:p>
        </w:tc>
        <w:tc>
          <w:tcPr>
            <w:tcW w:w="1953" w:type="dxa"/>
            <w:tcBorders>
              <w:tl2br w:val="nil"/>
              <w:tr2bl w:val="nil"/>
            </w:tcBorders>
            <w:noWrap/>
            <w:vAlign w:val="bottom"/>
          </w:tcPr>
          <w:p>
            <w:pPr>
              <w:keepNext w:val="0"/>
              <w:keepLines w:val="0"/>
              <w:widowControl/>
              <w:suppressLineNumbers w:val="0"/>
              <w:jc w:val="center"/>
              <w:textAlignment w:val="bottom"/>
              <w:rPr>
                <w:rFonts w:hint="default" w:ascii="宋体" w:hAnsi="宋体" w:eastAsia="宋体" w:cs="宋体"/>
                <w:i w:val="0"/>
                <w:iCs w:val="0"/>
                <w:color w:val="auto"/>
                <w:kern w:val="0"/>
                <w:sz w:val="20"/>
                <w:szCs w:val="20"/>
                <w:u w:val="none"/>
                <w:lang w:val="en-US" w:eastAsia="zh-CN" w:bidi="ar"/>
              </w:rPr>
            </w:pPr>
            <w:r/>
            <w:r>
              <w:t>126</w:t>
            </w:r>
          </w:p>
        </w:tc>
      </w:tr>
    </w:tbl>
    <w:p>
      <w:pPr>
        <w:keepNext w:val="0"/>
        <w:keepLines w:val="0"/>
        <w:pageBreakBefore w:val="0"/>
        <w:widowControl/>
        <w:tabs>
          <w:tab w:val="left" w:pos="567"/>
        </w:tabs>
        <w:kinsoku/>
        <w:wordWrap/>
        <w:overflowPunct/>
        <w:topLinePunct w:val="0"/>
        <w:autoSpaceDE/>
        <w:autoSpaceDN/>
        <w:bidi w:val="0"/>
        <w:adjustRightInd/>
        <w:snapToGrid/>
        <w:ind w:firstLine="0" w:firstLineChars="0"/>
        <w:jc w:val="left"/>
        <w:textAlignment w:val="auto"/>
        <w:rPr>
          <w:rFonts w:hint="eastAsia" w:ascii="仿宋_GB2312" w:hAnsi="仿宋_GB2312" w:eastAsia="仿宋_GB2312" w:cs="仿宋_GB2312"/>
          <w:b w:val="0"/>
          <w:bCs/>
          <w:color w:val="auto"/>
          <w:szCs w:val="21"/>
          <w:u w:val="none"/>
          <w:lang w:val="en-US" w:eastAsia="zh-CN"/>
        </w:rPr>
      </w:pPr>
      <w:r>
        <w:rPr>
          <w:rFonts w:hint="eastAsia" w:ascii="仿宋_GB2312" w:hAnsi="仿宋_GB2312" w:eastAsia="仿宋_GB2312" w:cs="仿宋_GB2312"/>
          <w:b w:val="0"/>
          <w:bCs/>
          <w:color w:val="auto"/>
          <w:szCs w:val="21"/>
          <w:u w:val="none"/>
          <w:lang w:val="en-US" w:eastAsia="zh-CN"/>
        </w:rPr>
        <w:t>备注：上述排名剔除已撤销营业部。2023年-2025年9月，参与排名的营业部年度家数分别为168、169、169。</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期内，财务指标方面，营业部以代理买卖证券业务净收入为主要收入来源。业绩指标方面，客户资产规模逐年增长，股基交易量逐年增长。从指标排名情况来看，营业部各项指标排名基本处于公司所有营业部中游至中下游水平。</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（三）内部控制情况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经审计，营业部岗位设置符合内部控制基本要求，并在业务运行过程中基本落实了不相容职务分离控制、授权审批控制、财产保护控制、预算控制等内部控制措施。</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经向营业部人员询问和检查相关资料，并向公司其他相关职能部门了解，审计期内，营业部未发生重大信息安全事故、重大突发事件、未决诉讼、未了结客户投诉等事项。</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2025年3月，营业部因未能勤勉履行合规管理要求，且对内部审计发现的问题整改不力、屡审屡犯，根据公司《内部审计工作制度》及《合规问责实施办法》，营业部负责人及合规与风控专员被予以合规问责。</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（四）营业部负责人经济责任履行情况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期内，卢俊同志基本能够贯彻执行国家有关证券市场发展的方针政策，遵守《证券法》《证券公司内部控制指引》《证券经纪业务管理办法》等法律法规以及证券业务规则，执行廉洁从业规定，公司未受理或办理过涉及卢俊同志个人的信访及案件。审计期内，卢俊同志基本能够执行公司有关经纪业务的重大经营决策，平稳开展业务。2023-2024年度，公司对卢俊同志的绩效考核结果均为B。</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（五）前次审计整改情况</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“反洗钱工作小组议事机制执行不规范”问题在本次审计中仍然存在，未有效整改。</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二、审计发现的主要问题</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从本次审计情况看，营业部在账户开立及适当性管理、业务流程管理、反洗钱工作、合规管理、综合管理、财务管理等内部控制方面存在一般缺陷，主要包括以下问题：</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（一）账户开立及适当性管理</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1.个别客户文件签署影像不规范</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公司《投资者适当性管理办法》规定，分支机构现场告知适当性评估结果等全过程应录音或录像，并妥善保管影像资料。</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抽查21笔客户账户开立业务，其中1笔机构代理人在账户开立的文件签署视频中全程佩戴口罩，无法辨别客户脸部特征。</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（二）业务流程管理</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1.个别客户适当性管理不完善</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公司《投资者适当性管理办法》规定，公司向普通投资者提供的交易服务的风险等级应当与投资者分类结果相匹配。公司认为投资者参与相关交易不适当的，应当拒绝提供相关服务。</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审计期内，营业部2名客户适当性管理不到位，已获得的交易服务与其分类结果不匹配，营业部未规范落实后续管理要求。</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（三）反洗钱工作</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1.反洗钱工作小组议事机制执行不规范</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分支机构反洗钱工作管理办法》规定，分支机构反洗钱工作小组建立议事机制，每年至少召开四次反洗钱工作会议，议事范围含括：审议分支机构反洗钱工作小组成员变动、分支机构反洗钱年度培训和宣传工作计划及分支机构其他重要反洗钱工作事项等。</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审计发现，营业部反洗钱工作小组议事机制执行不规范。</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（1）会议频次不足。2023-2024年期间，反洗钱工作小组仅召开了一次会议，不符合公司制度的频次要求。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（2）议事范围执行不到位。营业部反洗钱年度培训及宣传工作计划等重要事项，均未按规定履行审议程序。</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（3）小组人员管理不及时。营业部财务人员因办公地址变更而无法实际履行反洗钱工作职责，营业部未及时对小组成员名单进行更新调整。</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2.个别新开户客户未及时完成风险等级划分</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公司《洗钱风险评估及客户分类管理办法》规定，对于新建立业务关系的客户，各单位应在建立业务关系后的10个工作日内划分其风险等级。</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审计期内，营业部个别新开户客户的反洗钱风险等级划分未在10个工作日内完成。</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3.部分高风险客户定期审核超期</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公司《反洗钱操作指引》规定，营业部应在收到风险等级定期审核流程的10个工作日内完成，高风险客户至少每半年审核一次。</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审计发现，营业部部分高风险客户定期审核流程未在规定时间内提交，导致高风险客户定期审核超期。</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（四）合规管理</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1.个别客户佣金设置错误</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公司《经纪业务佣金管理办法》规定，客户产生的业务创收应覆盖其交易成本，除个性化佣金费率等特殊情况外，客户佣金标准不得低于最低佣金。</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审计发现，2名已开通可转债交易权限的客户，可转债佣金费率低于公司成本。</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（五）综合管理</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1.信息公示不规范</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公司《证券经纪业务信息公示管理细则》规定，分支机构营业场所应通过分支机构营业场所等载体，公示包括展业人员信息、相关业务信息、费用与佣金信息等。</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审计发现，营业部未按要求公示两融业务信息（融资融券专员、标的证券名单、融资利率及融券费率）及股票期权业务信息（佣金收取标准、保证金收取标准）。</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2.未聘专业机构定期保养安消防设施</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公司《安全保卫和消防安全工作管理办法》规定，安防、消防设施需聘请有专业资质的维护保养单位进行定期维护保养，确保设施正常运转。</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审计发现，营业部未聘请专业的消防维保单位对安防、消防设施进行定期维保。</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（六）财务管理</w:t>
      </w:r>
    </w:p>
    <w:p>
      <w:pPr>
        <w:numPr>
          <w:ilvl w:val="255"/>
          <w:numId w:val="0"/>
        </w:numPr>
        <w:spacing w:line="560" w:lineRule="exact"/>
        <w:ind w:firstLine="643" w:firstLineChars="200"/>
        <w:jc w:val="left"/>
        <w:rPr>
          <w:rFonts w:hint="default" w:ascii="仿宋_GB2312" w:hAnsi="仿宋_GB2312" w:eastAsia="仿宋_GB2312" w:cs="仿宋_GB2312"/>
          <w:b/>
          <w:bCs/>
          <w:color w:val="auto"/>
          <w:sz w:val="32"/>
          <w:szCs w:val="32"/>
          <w:highlight w:val="none"/>
          <w:lang w:val="en-US" w:eastAsia="zh-CN"/>
        </w:rPr>
      </w:pPr>
      <w:r>
        <w:rPr>
          <w:rFonts w:hint="eastAsia" w:ascii="仿宋_GB2312" w:hAnsi="仿宋_GB2312" w:eastAsia="仿宋_GB2312" w:cs="仿宋_GB2312"/>
          <w:b/>
          <w:bCs/>
          <w:color w:val="auto"/>
          <w:sz w:val="32"/>
          <w:szCs w:val="32"/>
          <w:highlight w:val="none"/>
        </w:rPr>
        <w:t>1.未对长期挂账项目进行清理认定</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根据计划财务管理总部关于应付账款清理的相关要求，对于长期挂账应付账款（入账时间五年以上），经确定不再需要支付或认定为确实无法支付的，由营业部申请，经审批后进行清理。</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审计发现，营业部存在1笔账龄7年的项目质保金尾款，营业部未按要求对是否需要清理进行认定。</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b w:val="0"/>
          <w:bCs w:val="0"/>
          <w:color w:val="auto"/>
          <w:sz w:val="32"/>
          <w:szCs w:val="32"/>
          <w:lang w:val="en-US" w:eastAsia="zh-CN"/>
        </w:rPr>
      </w:pPr>
      <w:r>
        <w:rPr>
          <w:rFonts w:hint="eastAsia" w:ascii="黑体" w:hAnsi="黑体" w:eastAsia="黑体" w:cs="黑体"/>
          <w:b w:val="0"/>
          <w:bCs w:val="0"/>
          <w:color w:val="auto"/>
          <w:sz w:val="32"/>
          <w:szCs w:val="32"/>
          <w:lang w:val="en-US" w:eastAsia="zh-CN"/>
        </w:rPr>
        <w:t>三、审计意见及整改要求</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经审计，未发现上海浦东新区启帆路证券营业部经营活动及内部控制存在重大违法违规事项或重大内控缺陷。本次审计发现的问题反映出营业部在账户开立及适当性管理、业务流程管理、反洗钱工作、合规管理、综合管理、财务管理等方面工作中，相关人员对规章制度的理解不到位，操作流程执行不规范，业务管理上应进一步完善。</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针对审计发现的问题，现提出以下审计意见及整改要求：</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（一）完善账户及业务管理工作</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应严格落实公司账户及业务流程管理方面的各项规定，对关键业务流程加强复核与控制，切实做好客户适当性管理工作。</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（二）加强反洗钱工作</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应提升对反洗钱工作的重视程度，加强对反洗钱监管规定和公司反洗钱制度的学习，确保员工熟练掌握反洗钱各项工作要求，切实提升营业部反洗钱工作的合规性和有效性。</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（三）提升合规管理水平</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应牢固树立合规理念，不断强化风险意识，加强法律法规、行业规则以及公司规章制度学习，切实提升履职能力，完善佣金管理等工作，确保各项业务合法合规开展。</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楷体_GB2312" w:hAnsi="楷体_GB2312" w:eastAsia="楷体_GB2312" w:cs="楷体_GB2312"/>
          <w:b/>
          <w:bCs/>
          <w:color w:val="auto"/>
          <w:sz w:val="32"/>
          <w:szCs w:val="32"/>
        </w:rPr>
      </w:pPr>
      <w:r>
        <w:rPr>
          <w:rFonts w:hint="eastAsia" w:ascii="楷体_GB2312" w:hAnsi="楷体_GB2312" w:eastAsia="楷体_GB2312" w:cs="楷体_GB2312"/>
          <w:b/>
          <w:bCs/>
          <w:color w:val="auto"/>
          <w:sz w:val="32"/>
          <w:szCs w:val="32"/>
        </w:rPr>
        <w:t>（四）规范营业部基础管理</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应进一步规范营业部综合管理和财务管理等工作，认真落实公司各类通知及制度要求，完善信息公示、安防管理和挂账清理认定等工作，加强营业部日常管理。</w:t>
      </w:r>
    </w:p>
    <w:p>
      <w:pPr>
        <w:keepNext w:val="0"/>
        <w:keepLines w:val="0"/>
        <w:pageBreakBefore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color w:val="auto"/>
          <w:sz w:val="32"/>
          <w:szCs w:val="32"/>
          <w:highlight w:val="none"/>
        </w:rPr>
      </w:pPr>
      <w:r>
        <w:rPr>
          <w:rFonts w:hint="eastAsia" w:ascii="仿宋_GB2312" w:hAnsi="仿宋_GB2312" w:eastAsia="仿宋_GB2312" w:cs="仿宋_GB2312"/>
          <w:color w:val="auto"/>
          <w:sz w:val="32"/>
          <w:szCs w:val="32"/>
          <w:highlight w:val="none"/>
        </w:rPr>
        <w:t>你单位应认真制定整改计划，明确问题的整改责任人和整改期限，切实采取有效措施落实整改，并能举一反三，杜绝同类问题的反复出现。审计中心将持续跟踪整改情况，并视情况采取后续审计措施。</w:t>
      </w:r>
    </w:p>
    <w:p>
      <w:pPr>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contextualSpacing/>
        <w:jc w:val="center"/>
        <w:textAlignment w:val="auto"/>
        <w:rPr>
          <w:rFonts w:hint="eastAsia" w:ascii="仿宋_GB2312" w:hAnsi="仿宋_GB2312" w:eastAsia="仿宋_GB2312" w:cs="仿宋_GB2312"/>
          <w:color w:val="auto"/>
          <w:kern w:val="0"/>
          <w:sz w:val="32"/>
          <w:szCs w:val="32"/>
          <w:highlight w:val="none"/>
        </w:rPr>
      </w:pPr>
      <w:r>
        <w:rPr>
          <w:rFonts w:hint="eastAsia" w:ascii="仿宋_GB2312" w:hAnsi="仿宋_GB2312" w:eastAsia="仿宋_GB2312" w:cs="仿宋_GB2312"/>
          <w:sz w:val="32"/>
          <w:szCs w:val="32"/>
          <w:lang w:val="en-US" w:eastAsia="zh-CN"/>
        </w:rPr>
        <w:t>东方证券股份有限公司</w:t>
      </w:r>
    </w:p>
    <w:p>
      <w:pPr>
        <w:keepNext w:val="0"/>
        <w:keepLines w:val="0"/>
        <w:pageBreakBefore w:val="0"/>
        <w:widowControl/>
        <w:kinsoku/>
        <w:wordWrap/>
        <w:overflowPunct/>
        <w:topLinePunct w:val="0"/>
        <w:autoSpaceDE/>
        <w:autoSpaceDN/>
        <w:bidi w:val="0"/>
        <w:adjustRightInd/>
        <w:snapToGrid/>
        <w:spacing w:before="0" w:beforeAutospacing="0" w:after="0" w:afterAutospacing="0" w:line="560" w:lineRule="exact"/>
        <w:contextualSpacing/>
        <w:jc w:val="center"/>
        <w:textAlignment w:val="auto"/>
        <w:rPr>
          <w:color w:val="auto"/>
          <w:sz w:val="32"/>
          <w:szCs w:val="32"/>
          <w:highlight w:val="none"/>
        </w:rPr>
      </w:pPr>
      <w:r>
        <w:rPr>
          <w:rFonts w:hint="eastAsia" w:ascii="仿宋_GB2312" w:hAnsi="仿宋_GB2312" w:eastAsia="仿宋_GB2312" w:cs="仿宋_GB2312"/>
          <w:color w:val="auto"/>
          <w:kern w:val="0"/>
          <w:sz w:val="32"/>
          <w:szCs w:val="32"/>
          <w:highlight w:val="none"/>
        </w:rPr>
        <w:t>2025年12月26日</w:t>
      </w:r>
    </w:p>
    <w:sectPr>
      <w:footerReference r:id="rId5" w:type="default"/>
      <w:pgSz w:w="11906" w:h="16838"/>
      <w:pgMar w:top="2098" w:right="1474" w:bottom="1984" w:left="1587" w:header="851" w:footer="1474"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524AC">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FBA48">
                          <w:pPr>
                            <w:pStyle w:val="9"/>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70FBA48">
                    <w:pPr>
                      <w:pStyle w:val="9"/>
                    </w:pPr>
                    <w: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80120F"/>
    <w:multiLevelType w:val="multilevel"/>
    <w:tmpl w:val="6680120F"/>
    <w:lvl w:ilvl="0" w:tentative="0">
      <w:start w:val="1"/>
      <w:numFmt w:val="chineseCountingThousand"/>
      <w:pStyle w:val="13"/>
      <w:lvlText w:val="第%1条 "/>
      <w:lvlJc w:val="left"/>
      <w:pPr>
        <w:tabs>
          <w:tab w:val="left" w:pos="8188"/>
        </w:tabs>
        <w:ind w:left="6861" w:firstLine="510"/>
      </w:pPr>
      <w:rPr>
        <w:rFonts w:hint="eastAsia" w:ascii="宋体" w:hAnsi="宋体" w:eastAsia="宋体"/>
        <w:b/>
        <w:i w:val="0"/>
        <w:sz w:val="28"/>
        <w:szCs w:val="28"/>
        <w:lang w:val="en-US"/>
      </w:rPr>
    </w:lvl>
    <w:lvl w:ilvl="1" w:tentative="0">
      <w:start w:val="1"/>
      <w:numFmt w:val="bullet"/>
      <w:lvlText w:val=""/>
      <w:lvlJc w:val="left"/>
      <w:pPr>
        <w:tabs>
          <w:tab w:val="left" w:pos="840"/>
        </w:tabs>
        <w:ind w:left="840" w:hanging="420"/>
      </w:pPr>
      <w:rPr>
        <w:rFonts w:hint="default" w:ascii="Wingdings" w:hAnsi="Wingdings"/>
        <w:b w:val="0"/>
        <w:i w:val="0"/>
        <w:sz w:val="24"/>
        <w:lang w:val="en-U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F34D34"/>
    <w:rsid w:val="0044437F"/>
    <w:rsid w:val="009D15BA"/>
    <w:rsid w:val="00FD59C4"/>
    <w:rsid w:val="0165541F"/>
    <w:rsid w:val="02B240F8"/>
    <w:rsid w:val="02C45DF7"/>
    <w:rsid w:val="02E31684"/>
    <w:rsid w:val="032224D5"/>
    <w:rsid w:val="039E03D4"/>
    <w:rsid w:val="05F129BF"/>
    <w:rsid w:val="074C2F22"/>
    <w:rsid w:val="076B4BF4"/>
    <w:rsid w:val="08A43CA8"/>
    <w:rsid w:val="0B2A4FBB"/>
    <w:rsid w:val="0C466C3D"/>
    <w:rsid w:val="0E43435D"/>
    <w:rsid w:val="0F5062A9"/>
    <w:rsid w:val="0FC7749A"/>
    <w:rsid w:val="11407C5C"/>
    <w:rsid w:val="145D544B"/>
    <w:rsid w:val="146A4DCC"/>
    <w:rsid w:val="147A0953"/>
    <w:rsid w:val="1519455C"/>
    <w:rsid w:val="15BB6557"/>
    <w:rsid w:val="15E72BC0"/>
    <w:rsid w:val="15FB2F64"/>
    <w:rsid w:val="172420BA"/>
    <w:rsid w:val="17981226"/>
    <w:rsid w:val="182A1AEA"/>
    <w:rsid w:val="18ED0B38"/>
    <w:rsid w:val="19FE3174"/>
    <w:rsid w:val="1A385734"/>
    <w:rsid w:val="1AA166BC"/>
    <w:rsid w:val="1B525E7B"/>
    <w:rsid w:val="1CB77821"/>
    <w:rsid w:val="1E3D5C49"/>
    <w:rsid w:val="1E513E52"/>
    <w:rsid w:val="1E642A7B"/>
    <w:rsid w:val="1E7C3010"/>
    <w:rsid w:val="1E8B74A4"/>
    <w:rsid w:val="1F5F6697"/>
    <w:rsid w:val="207A15D1"/>
    <w:rsid w:val="20C44183"/>
    <w:rsid w:val="21936E6C"/>
    <w:rsid w:val="21F91C8A"/>
    <w:rsid w:val="23D83CCB"/>
    <w:rsid w:val="24584877"/>
    <w:rsid w:val="25E61B5C"/>
    <w:rsid w:val="25F226AF"/>
    <w:rsid w:val="28C1712A"/>
    <w:rsid w:val="28D95EA7"/>
    <w:rsid w:val="294E07F4"/>
    <w:rsid w:val="298132FB"/>
    <w:rsid w:val="2C11319E"/>
    <w:rsid w:val="2D016BD6"/>
    <w:rsid w:val="2DC95526"/>
    <w:rsid w:val="2DCD4931"/>
    <w:rsid w:val="2FAF6142"/>
    <w:rsid w:val="30073B4F"/>
    <w:rsid w:val="304072C1"/>
    <w:rsid w:val="30632C22"/>
    <w:rsid w:val="328341C4"/>
    <w:rsid w:val="32B36406"/>
    <w:rsid w:val="33132ED9"/>
    <w:rsid w:val="352E4E5A"/>
    <w:rsid w:val="382D0DAA"/>
    <w:rsid w:val="38566715"/>
    <w:rsid w:val="387C2071"/>
    <w:rsid w:val="390A2B84"/>
    <w:rsid w:val="3A570783"/>
    <w:rsid w:val="3AE40BB1"/>
    <w:rsid w:val="3C77268A"/>
    <w:rsid w:val="3CDE7909"/>
    <w:rsid w:val="3D0642D4"/>
    <w:rsid w:val="3D2748CC"/>
    <w:rsid w:val="3D5155E5"/>
    <w:rsid w:val="3D5A6DB8"/>
    <w:rsid w:val="3D7D6C2F"/>
    <w:rsid w:val="3DA146E4"/>
    <w:rsid w:val="3DA46D33"/>
    <w:rsid w:val="3DE702F1"/>
    <w:rsid w:val="3F530FFB"/>
    <w:rsid w:val="40AD22E9"/>
    <w:rsid w:val="40B5060D"/>
    <w:rsid w:val="41071F8C"/>
    <w:rsid w:val="41342A94"/>
    <w:rsid w:val="42462D49"/>
    <w:rsid w:val="442B5747"/>
    <w:rsid w:val="44F766AB"/>
    <w:rsid w:val="458E5B51"/>
    <w:rsid w:val="49B55834"/>
    <w:rsid w:val="4A144698"/>
    <w:rsid w:val="4A5109B3"/>
    <w:rsid w:val="4C1239C1"/>
    <w:rsid w:val="4C18490C"/>
    <w:rsid w:val="4C7D7C91"/>
    <w:rsid w:val="4D802853"/>
    <w:rsid w:val="4F5E329D"/>
    <w:rsid w:val="4F6636A4"/>
    <w:rsid w:val="4FA40F0C"/>
    <w:rsid w:val="508E1C8A"/>
    <w:rsid w:val="529169C4"/>
    <w:rsid w:val="53D155EE"/>
    <w:rsid w:val="54D8670F"/>
    <w:rsid w:val="54E17103"/>
    <w:rsid w:val="5533049D"/>
    <w:rsid w:val="56740754"/>
    <w:rsid w:val="587E2D70"/>
    <w:rsid w:val="59F34D34"/>
    <w:rsid w:val="5A19400C"/>
    <w:rsid w:val="5AC0628A"/>
    <w:rsid w:val="5B292FA4"/>
    <w:rsid w:val="5BF933CE"/>
    <w:rsid w:val="5C057628"/>
    <w:rsid w:val="5CC5027F"/>
    <w:rsid w:val="5CEA68C7"/>
    <w:rsid w:val="5F4F2E80"/>
    <w:rsid w:val="60A926A8"/>
    <w:rsid w:val="61F80401"/>
    <w:rsid w:val="62402E6B"/>
    <w:rsid w:val="62BA5898"/>
    <w:rsid w:val="636A5D8E"/>
    <w:rsid w:val="64046BD8"/>
    <w:rsid w:val="6410733A"/>
    <w:rsid w:val="65D02270"/>
    <w:rsid w:val="676F11EE"/>
    <w:rsid w:val="678D7866"/>
    <w:rsid w:val="679B1ED4"/>
    <w:rsid w:val="67F3434E"/>
    <w:rsid w:val="685C07DD"/>
    <w:rsid w:val="68634FFF"/>
    <w:rsid w:val="68A403B0"/>
    <w:rsid w:val="6912080D"/>
    <w:rsid w:val="6DDD5884"/>
    <w:rsid w:val="6EBD23B9"/>
    <w:rsid w:val="6EF104F7"/>
    <w:rsid w:val="6EF94A62"/>
    <w:rsid w:val="6F1344D1"/>
    <w:rsid w:val="6F7C1715"/>
    <w:rsid w:val="72683ECD"/>
    <w:rsid w:val="72B81856"/>
    <w:rsid w:val="73627F7A"/>
    <w:rsid w:val="736A3CBC"/>
    <w:rsid w:val="73A73023"/>
    <w:rsid w:val="74BE7C71"/>
    <w:rsid w:val="77697D67"/>
    <w:rsid w:val="77DD2CB6"/>
    <w:rsid w:val="7822605A"/>
    <w:rsid w:val="7969375C"/>
    <w:rsid w:val="79B87313"/>
    <w:rsid w:val="7A6148B8"/>
    <w:rsid w:val="7AE647E1"/>
    <w:rsid w:val="7B2C6419"/>
    <w:rsid w:val="7C6B352C"/>
    <w:rsid w:val="7E4E2848"/>
    <w:rsid w:val="7EDF146B"/>
    <w:rsid w:val="7F416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3">
    <w:name w:val="heading 1"/>
    <w:basedOn w:val="4"/>
    <w:next w:val="5"/>
    <w:qFormat/>
    <w:uiPriority w:val="0"/>
    <w:pPr>
      <w:keepNext/>
      <w:keepLines/>
      <w:spacing w:beforeLines="0" w:beforeAutospacing="0" w:afterLines="0" w:afterAutospacing="0" w:line="560" w:lineRule="exact"/>
      <w:jc w:val="left"/>
      <w:outlineLvl w:val="1"/>
    </w:pPr>
    <w:rPr>
      <w:rFonts w:ascii="黑体" w:hAnsi="黑体" w:eastAsia="黑体"/>
      <w:b w:val="0"/>
      <w:kern w:val="44"/>
      <w:sz w:val="32"/>
    </w:rPr>
  </w:style>
  <w:style w:type="paragraph" w:styleId="5">
    <w:name w:val="heading 2"/>
    <w:basedOn w:val="3"/>
    <w:next w:val="1"/>
    <w:semiHidden/>
    <w:unhideWhenUsed/>
    <w:qFormat/>
    <w:uiPriority w:val="0"/>
    <w:pPr>
      <w:keepNext/>
      <w:keepLines/>
      <w:spacing w:beforeLines="0" w:beforeAutospacing="0" w:afterLines="0" w:afterAutospacing="0" w:line="560" w:lineRule="exact"/>
      <w:jc w:val="left"/>
      <w:outlineLvl w:val="2"/>
    </w:pPr>
    <w:rPr>
      <w:rFonts w:ascii="楷体" w:hAnsi="楷体" w:eastAsia="楷体" w:cs="楷体"/>
      <w:b/>
    </w:rPr>
  </w:style>
  <w:style w:type="paragraph" w:styleId="6">
    <w:name w:val="heading 3"/>
    <w:basedOn w:val="5"/>
    <w:next w:val="1"/>
    <w:semiHidden/>
    <w:unhideWhenUsed/>
    <w:qFormat/>
    <w:uiPriority w:val="0"/>
    <w:pPr>
      <w:keepNext/>
      <w:keepLines/>
      <w:spacing w:before="260" w:beforeLines="0" w:beforeAutospacing="0" w:after="260" w:afterLines="0" w:afterAutospacing="0" w:line="560" w:lineRule="exact"/>
      <w:outlineLvl w:val="2"/>
    </w:pPr>
    <w:rPr>
      <w:rFonts w:eastAsia="楷体"/>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2">
    <w:name w:val="Default"/>
    <w:qFormat/>
    <w:uiPriority w:val="0"/>
    <w:pPr>
      <w:widowControl w:val="0"/>
      <w:autoSpaceDE w:val="0"/>
      <w:autoSpaceDN w:val="0"/>
      <w:adjustRightInd w:val="0"/>
    </w:pPr>
    <w:rPr>
      <w:rFonts w:ascii="仿宋" w:hAnsi="仿宋" w:eastAsia="宋体" w:cs="仿宋"/>
      <w:color w:val="000000"/>
      <w:sz w:val="24"/>
      <w:szCs w:val="24"/>
      <w:lang w:val="en-US" w:eastAsia="zh-CN" w:bidi="ar-SA"/>
    </w:rPr>
  </w:style>
  <w:style w:type="paragraph" w:styleId="4">
    <w:name w:val="Title"/>
    <w:basedOn w:val="1"/>
    <w:next w:val="3"/>
    <w:qFormat/>
    <w:uiPriority w:val="0"/>
    <w:pPr>
      <w:spacing w:beforeLines="0" w:beforeAutospacing="0" w:afterLines="0" w:afterAutospacing="0" w:line="660" w:lineRule="exact"/>
      <w:jc w:val="center"/>
      <w:outlineLvl w:val="0"/>
    </w:pPr>
    <w:rPr>
      <w:rFonts w:ascii="华文中宋" w:hAnsi="华文中宋" w:eastAsia="华文中宋"/>
      <w:b/>
      <w:sz w:val="44"/>
    </w:rPr>
  </w:style>
  <w:style w:type="paragraph" w:styleId="7">
    <w:name w:val="annotation text"/>
    <w:basedOn w:val="1"/>
    <w:qFormat/>
    <w:uiPriority w:val="0"/>
    <w:pPr>
      <w:jc w:val="left"/>
    </w:pPr>
  </w:style>
  <w:style w:type="paragraph" w:styleId="8">
    <w:name w:val="Body Text"/>
    <w:basedOn w:val="1"/>
    <w:qFormat/>
    <w:uiPriority w:val="0"/>
    <w:pPr>
      <w:jc w:val="left"/>
    </w:pPr>
    <w:rPr>
      <w:rFonts w:ascii="宋体"/>
      <w:kern w:val="0"/>
      <w:sz w:val="18"/>
    </w:rPr>
  </w:style>
  <w:style w:type="paragraph" w:styleId="9">
    <w:name w:val="footer"/>
    <w:basedOn w:val="1"/>
    <w:qFormat/>
    <w:uiPriority w:val="0"/>
    <w:pPr>
      <w:tabs>
        <w:tab w:val="center" w:pos="4153"/>
        <w:tab w:val="right" w:pos="8306"/>
      </w:tabs>
      <w:snapToGrid w:val="0"/>
      <w:spacing w:line="240" w:lineRule="auto"/>
      <w:jc w:val="left"/>
    </w:pPr>
    <w:rPr>
      <w:rFonts w:ascii="宋体" w:hAnsi="宋体" w:eastAsia="宋体"/>
      <w:sz w:val="28"/>
    </w:rPr>
  </w:style>
  <w:style w:type="character" w:styleId="12">
    <w:name w:val="annotation reference"/>
    <w:qFormat/>
    <w:uiPriority w:val="99"/>
    <w:rPr>
      <w:sz w:val="21"/>
      <w:szCs w:val="21"/>
    </w:rPr>
  </w:style>
  <w:style w:type="paragraph" w:customStyle="1" w:styleId="13">
    <w:name w:val="样式 条样式 +"/>
    <w:basedOn w:val="1"/>
    <w:qFormat/>
    <w:uiPriority w:val="0"/>
    <w:pPr>
      <w:numPr>
        <w:ilvl w:val="0"/>
        <w:numId w:val="1"/>
      </w:numPr>
      <w:tabs>
        <w:tab w:val="left" w:pos="1327"/>
        <w:tab w:val="clear" w:pos="8188"/>
      </w:tabs>
      <w:spacing w:line="360" w:lineRule="auto"/>
      <w:ind w:left="0"/>
    </w:pPr>
    <w:rPr>
      <w:rFonts w:ascii="仿宋_GB2312" w:hAnsi="宋体" w:eastAsia="仿宋_GB2312" w:cs="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2353</Words>
  <Characters>2715</Characters>
  <Lines>0</Lines>
  <Paragraphs>0</Paragraphs>
  <TotalTime>18</TotalTime>
  <ScaleCrop>false</ScaleCrop>
  <LinksUpToDate>false</LinksUpToDate>
  <CharactersWithSpaces>2955</CharactersWithSpaces>
  <Application>WPS Office_12.8.2.21177_F1E327BC-269C-435d-A152-05C5408002CA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2025-04-11T05:16:00Z</dcterms:created>
  <dc:creator>zhangyizhou</dc:creator>
  <cp:lastModifiedBy>高思文</cp:lastModifiedBy>
  <dcterms:modified xsi:type="dcterms:W3CDTF">2026-06-01T07:12:24Z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2052-12.8.2.21177</vt:lpwstr>
  </property>
  <property fmtid="{D5CDD505-2E9C-101B-9397-08002B2CF9AE}" pid="3" name="ICV">
    <vt:lpwstr>DD948598BF8C434286B76FF3A4F54A12</vt:lpwstr>
  </property>
  <property fmtid="{D5CDD505-2E9C-101B-9397-08002B2CF9AE}" pid="4" name="KSOTemplateDocerSaveRecord">
    <vt:lpwstr>eyJoZGlkIjoiYjhkYjI0NzE1YjU3N2UxY2E0MWI2OTAxNDJlNWNmYzUiLCJ1c2VySWQiOiIzMjE0ODg3MTEifQ==</vt:lpwstr>
  </property>
</Properties>
</file>