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60" w:lineRule="exact"/>
        <w:jc w:val="center"/>
        <w:textAlignment w:val="auto"/>
        <w:outlineLvl w:val="0"/>
        <w:rPr>
          <w:rFonts w:hint="eastAsia" w:ascii="方正小标宋简体" w:hAnsi="方正小标宋简体" w:eastAsia="方正小标宋简体" w:cs="方正小标宋简体"/>
          <w:b w:val="0"/>
          <w:bCs w:val="0"/>
          <w:color w:val="auto"/>
          <w:sz w:val="44"/>
          <w:szCs w:val="44"/>
          <w:lang w:val="en-US" w:eastAsia="zh-CN"/>
        </w:rPr>
      </w:pPr>
      <w:r/>
    </w:p>
    <w:p>
      <w:pPr>
        <w:keepNext w:val="0"/>
        <w:keepLines w:val="0"/>
        <w:pageBreakBefore w:val="0"/>
        <w:widowControl w:val="0"/>
        <w:kinsoku/>
        <w:wordWrap/>
        <w:overflowPunct/>
        <w:topLinePunct w:val="0"/>
        <w:autoSpaceDE/>
        <w:autoSpaceDN/>
        <w:bidi w:val="0"/>
        <w:adjustRightInd/>
        <w:snapToGrid/>
        <w:spacing w:line="660" w:lineRule="exact"/>
        <w:jc w:val="center"/>
        <w:textAlignment w:val="auto"/>
        <w:outlineLvl w:val="0"/>
        <w:rPr>
          <w:rFonts w:hint="eastAsia" w:ascii="方正小标宋简体" w:hAnsi="方正小标宋简体" w:eastAsia="方正小标宋简体" w:cs="方正小标宋简体"/>
          <w:b w:val="0"/>
          <w:bCs w:val="0"/>
          <w:color w:val="auto"/>
          <w:sz w:val="44"/>
          <w:szCs w:val="44"/>
          <w:lang w:eastAsia="zh-CN"/>
        </w:rPr>
      </w:pPr>
      <w:r>
        <w:rPr>
          <w:rFonts w:hint="eastAsia" w:ascii="方正小标宋简体" w:hAnsi="方正小标宋简体" w:eastAsia="方正小标宋简体" w:cs="方正小标宋简体"/>
          <w:b w:val="0"/>
          <w:bCs w:val="0"/>
          <w:color w:val="auto"/>
          <w:kern w:val="0"/>
          <w:sz w:val="44"/>
          <w:szCs w:val="44"/>
          <w:lang w:val="en-US" w:eastAsia="zh-CN"/>
        </w:rPr>
        <w:t>上海浦东新区启帆路证券营业部负责人</w:t>
      </w:r>
    </w:p>
    <w:p>
      <w:pPr>
        <w:pStyle w:val="10"/>
        <w:keepNext w:val="0"/>
        <w:keepLines w:val="0"/>
        <w:pageBreakBefore w:val="0"/>
        <w:widowControl w:val="0"/>
        <w:kinsoku/>
        <w:wordWrap/>
        <w:overflowPunct/>
        <w:topLinePunct w:val="0"/>
        <w:autoSpaceDE/>
        <w:autoSpaceDN/>
        <w:bidi w:val="0"/>
        <w:adjustRightInd/>
        <w:snapToGrid/>
        <w:spacing w:line="660" w:lineRule="exact"/>
        <w:textAlignment w:val="auto"/>
        <w:outlineLvl w:val="0"/>
        <w:rPr>
          <w:rFonts w:hint="eastAsia" w:ascii="华文中宋" w:hAnsi="华文中宋" w:eastAsia="华文中宋" w:cs="华文中宋"/>
          <w:b/>
          <w:color w:val="auto"/>
          <w:sz w:val="44"/>
          <w:szCs w:val="44"/>
        </w:rPr>
      </w:pPr>
      <w:r>
        <w:rPr>
          <w:rFonts w:hint="eastAsia" w:ascii="方正小标宋简体" w:hAnsi="方正小标宋简体" w:eastAsia="方正小标宋简体" w:cs="方正小标宋简体"/>
          <w:b w:val="0"/>
          <w:bCs w:val="0"/>
          <w:color w:val="auto"/>
          <w:sz w:val="44"/>
          <w:szCs w:val="44"/>
          <w:lang w:val="en-US" w:eastAsia="zh-CN"/>
        </w:rPr>
        <w:t>卢俊同志离任审计报告</w:t>
      </w:r>
    </w:p>
    <w:p>
      <w:pPr>
        <w:keepNext w:val="0"/>
        <w:keepLines w:val="0"/>
        <w:pageBreakBefore w:val="0"/>
        <w:widowControl w:val="0"/>
        <w:kinsoku/>
        <w:wordWrap/>
        <w:overflowPunct/>
        <w:topLinePunct w:val="0"/>
        <w:autoSpaceDE/>
        <w:autoSpaceDN/>
        <w:bidi w:val="0"/>
        <w:adjustRightInd/>
        <w:snapToGrid/>
        <w:spacing w:line="660" w:lineRule="exact"/>
        <w:ind w:firstLine="640" w:firstLineChars="200"/>
        <w:textAlignment w:val="auto"/>
        <w:rPr>
          <w:rFonts w:hint="eastAsia" w:ascii="仿宋_GB2312" w:hAnsi="仿宋_GB2312" w:eastAsia="仿宋_GB2312" w:cs="仿宋_GB2312"/>
          <w:color w:val="auto"/>
          <w:sz w:val="32"/>
          <w:szCs w:val="32"/>
        </w:rPr>
      </w:pPr>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根据财富管理委员会委托，审计中心于2025年11月成立审计组，对上海浦东新区启帆路证券营业部负责人卢俊同志自2021年6月至2025年10月期间（以下简称“任职期”）的履职情况进行了审计。审计组依据相关监管规定及公司制度要求，实施了审核、查询、访谈、分析性复核等必要的审计程序。审计工作结束后，审计中心向卢俊同志发出了离任审计报告征求意见稿，并收到其对征求意见稿的确认和反馈。现出具报告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t>一、卢俊同志职务任免情况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2021年6月21日，公司发布《关于卢俊同志职务任免及曹杰同志代职的通知》（东证人字[2021]278号），聘任卢俊同志为上海浦东新区启帆路证券营业部副总经理（主持工作）。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2025年10月15日，财富管理委员会发布《关于卢俊同志免职的通知》（财富委字[2025]270号），免去卢俊同志的上海浦东新区启帆路证券营业部副总经理（主持工作）。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t>二、卢俊同志任职期内主要职责及职责履行情况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担任上海浦东新区启帆路证券营业部负责人期内，主要工作职责包括负责营业部经营管理，提升营业部经营业绩，完成年度KPI考核指标；落实分支机构各项合规管理、风险管理、内部控制、反洗钱等工作，对分支机构的合规运营承担管理责任；在经营管理活动中遵守廉洁从业规定。任职期内主要职责履行情况如下：</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（一）所在营业部经营情况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卢俊同志任职期内，营业部近年主要经营情况详见下表：</w:t>
      </w:r>
    </w:p>
    <w:p>
      <w:pPr>
        <w:keepNext w:val="0"/>
        <w:keepLines w:val="0"/>
        <w:pageBreakBefore w:val="0"/>
        <w:tabs>
          <w:tab w:val="left" w:pos="900"/>
        </w:tabs>
        <w:kinsoku/>
        <w:wordWrap/>
        <w:overflowPunct/>
        <w:topLinePunct w:val="0"/>
        <w:autoSpaceDE/>
        <w:autoSpaceDN/>
        <w:bidi w:val="0"/>
        <w:adjustRightInd/>
        <w:snapToGrid/>
        <w:textAlignment w:val="auto"/>
        <w:rPr>
          <w:rFonts w:hint="eastAsia" w:ascii="仿宋_GB2312" w:hAnsi="仿宋_GB2312" w:eastAsia="仿宋_GB2312" w:cs="仿宋_GB2312"/>
          <w:color w:val="auto"/>
          <w:szCs w:val="21"/>
        </w:rPr>
      </w:pPr>
      <w:r>
        <w:rPr>
          <w:rFonts w:hint="eastAsia" w:ascii="仿宋_GB2312" w:hAnsi="仿宋_GB2312" w:eastAsia="仿宋_GB2312" w:cs="仿宋_GB2312"/>
          <w:b/>
          <w:color w:val="auto"/>
          <w:szCs w:val="21"/>
          <w:u w:val="single"/>
        </w:rPr>
        <w:t>表1：财务指标</w:t>
        <w:tab/>
        <w:t>单位：万元</w:t>
      </w:r>
    </w:p>
    <w:tbl>
      <w:tblPr>
        <w:tblStyle w:val="11"/>
        <w:tblW w:w="48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6"/>
        <w:gridCol w:w="1461"/>
        <w:gridCol w:w="1461"/>
        <w:gridCol w:w="1461"/>
        <w:gridCol w:w="1461"/>
      </w:tblGrid>
      <w:tr>
        <w:trPr>
          <w:tblHeader/>
        </w:trPr>
        <w:tc>
          <w:tcPr>
            <w:tcW w:w="2946"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bCs/>
                <w:color w:val="auto"/>
                <w:sz w:val="20"/>
                <w:szCs w:val="20"/>
              </w:rPr>
            </w:pPr>
            <w:r/>
            <w:r>
              <w:rPr>
                <w:rFonts w:hint="eastAsia" w:ascii="宋体" w:hAnsi="宋体" w:eastAsia="宋体" w:cs="宋体"/>
                <w:b/>
                <w:bCs/>
                <w:color w:val="auto"/>
                <w:sz w:val="20"/>
                <w:szCs w:val="20"/>
              </w:rPr>
              <w:t>项目</w:t>
            </w:r>
          </w:p>
        </w:tc>
        <w:tc>
          <w:tcPr>
            <w:tcW w:w="1461"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color w:val="auto"/>
                <w:sz w:val="20"/>
                <w:szCs w:val="20"/>
              </w:rPr>
            </w:pPr>
            <w:r/>
            <w:r>
              <w:rPr>
                <w:rFonts w:hint="eastAsia" w:ascii="宋体" w:hAnsi="宋体" w:eastAsia="宋体" w:cs="宋体"/>
                <w:b/>
                <w:color w:val="auto"/>
                <w:sz w:val="20"/>
                <w:szCs w:val="20"/>
              </w:rPr>
              <w:t>2022年完成数</w:t>
            </w:r>
          </w:p>
        </w:tc>
        <w:tc>
          <w:tcPr>
            <w:tcW w:w="1461"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2023年完成数</w:t>
            </w:r>
          </w:p>
        </w:tc>
        <w:tc>
          <w:tcPr>
            <w:tcW w:w="1461"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bCs/>
                <w:color w:val="auto"/>
                <w:kern w:val="2"/>
                <w:sz w:val="20"/>
                <w:szCs w:val="20"/>
                <w:lang w:val="en-US" w:eastAsia="zh-CN" w:bidi="ar-SA"/>
              </w:rPr>
            </w:pPr>
            <w:r/>
            <w:r>
              <w:rPr>
                <w:rFonts w:hint="eastAsia" w:ascii="宋体" w:hAnsi="宋体" w:eastAsia="宋体" w:cs="宋体"/>
                <w:b/>
                <w:color w:val="auto"/>
                <w:sz w:val="20"/>
                <w:szCs w:val="20"/>
              </w:rPr>
              <w:t>2024年完成数</w:t>
            </w:r>
          </w:p>
        </w:tc>
        <w:tc>
          <w:tcPr>
            <w:tcW w:w="1461"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color w:val="auto"/>
                <w:sz w:val="20"/>
                <w:szCs w:val="20"/>
                <w:lang w:val="en-US" w:eastAsia="zh-CN"/>
              </w:rPr>
            </w:pPr>
            <w:r/>
            <w:r>
              <w:rPr>
                <w:rFonts w:hint="eastAsia" w:ascii="宋体" w:hAnsi="宋体" w:cs="宋体"/>
                <w:b/>
                <w:color w:val="auto"/>
                <w:sz w:val="20"/>
                <w:szCs w:val="20"/>
                <w:lang w:val="en-US" w:eastAsia="zh-CN"/>
              </w:rPr>
              <w:t>2025年1-9月完成数</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考核收入</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825.16</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731.97</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809.34</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674.37</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其中：代理买卖证券业务净收入</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310.53</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248.16</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315.18</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348.75</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客户保证金利息净收入</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135.73</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144.27</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161.20</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106.63</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产品相关收入</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234.80</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161.39</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62.27</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62.68</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两融息差净收入</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110.61</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97.43</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103.87</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103.37</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其他收入</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33.49</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80.71</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166.82</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52.92</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业务管理费</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667.72</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683.56</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517.34</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418.92</w:t>
            </w:r>
          </w:p>
        </w:tc>
      </w:tr>
      <w:tr>
        <w:tc>
          <w:tcPr>
            <w:tcW w:w="2946"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考核利润</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153.16</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45.72</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287.54</w:t>
            </w:r>
          </w:p>
        </w:tc>
        <w:tc>
          <w:tcPr>
            <w:tcW w:w="1461"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250.89</w:t>
            </w:r>
          </w:p>
        </w:tc>
      </w:tr>
    </w:tbl>
    <w:p>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hint="eastAsia" w:ascii="仿宋_GB2312" w:hAnsi="仿宋_GB2312" w:eastAsia="仿宋_GB2312" w:cs="仿宋_GB2312"/>
          <w:b w:val="0"/>
          <w:bCs/>
          <w:color w:val="auto"/>
          <w:szCs w:val="21"/>
          <w:u w:val="none"/>
          <w:lang w:eastAsia="zh-CN"/>
        </w:rPr>
      </w:pPr>
      <w:r>
        <w:rPr>
          <w:rFonts w:hint="eastAsia" w:ascii="仿宋_GB2312" w:hAnsi="仿宋_GB2312" w:eastAsia="仿宋_GB2312" w:cs="仿宋_GB2312"/>
          <w:b w:val="0"/>
          <w:bCs/>
          <w:color w:val="auto"/>
          <w:szCs w:val="21"/>
          <w:u w:val="none"/>
          <w:lang w:val="en-US" w:eastAsia="zh-CN"/>
        </w:rPr>
        <w:t>备注：代理买卖证券业务净收入扣除经纪人提成</w:t>
      </w:r>
    </w:p>
    <w:p>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ascii="仿宋" w:hAnsi="仿宋" w:eastAsia="仿宋"/>
          <w:b/>
          <w:color w:val="auto"/>
          <w:szCs w:val="21"/>
        </w:rPr>
      </w:pPr>
      <w:r>
        <w:rPr>
          <w:rFonts w:hint="eastAsia" w:ascii="仿宋_GB2312" w:hAnsi="仿宋_GB2312" w:eastAsia="仿宋_GB2312" w:cs="仿宋_GB2312"/>
          <w:b/>
          <w:color w:val="auto"/>
          <w:szCs w:val="21"/>
          <w:u w:val="single"/>
        </w:rPr>
        <w:t>表2：业绩指标</w:t>
      </w:r>
    </w:p>
    <w:tbl>
      <w:tblPr>
        <w:tblStyle w:val="11"/>
        <w:tblW w:w="48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2"/>
        <w:gridCol w:w="1465"/>
        <w:gridCol w:w="1465"/>
        <w:gridCol w:w="1465"/>
        <w:gridCol w:w="1465"/>
      </w:tblGrid>
      <w:tr>
        <w:trPr>
          <w:tblHeader/>
        </w:trPr>
        <w:tc>
          <w:tcPr>
            <w:tcW w:w="2932"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bCs/>
                <w:color w:val="auto"/>
                <w:sz w:val="20"/>
                <w:szCs w:val="20"/>
              </w:rPr>
            </w:pPr>
            <w:r/>
            <w:r>
              <w:rPr>
                <w:rFonts w:hint="eastAsia" w:ascii="宋体" w:hAnsi="宋体" w:eastAsia="宋体" w:cs="宋体"/>
                <w:b/>
                <w:bCs/>
                <w:color w:val="auto"/>
                <w:sz w:val="20"/>
                <w:szCs w:val="20"/>
              </w:rPr>
              <w:t>项目</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2022年完成数</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bCs/>
                <w:color w:val="auto"/>
                <w:kern w:val="2"/>
                <w:sz w:val="20"/>
                <w:szCs w:val="20"/>
                <w:lang w:val="en-US" w:eastAsia="zh-CN" w:bidi="ar-SA"/>
              </w:rPr>
            </w:pPr>
            <w:r/>
            <w:r>
              <w:rPr>
                <w:rFonts w:hint="eastAsia" w:ascii="宋体" w:hAnsi="宋体" w:eastAsia="宋体" w:cs="宋体"/>
                <w:b/>
                <w:color w:val="auto"/>
                <w:sz w:val="20"/>
                <w:szCs w:val="20"/>
              </w:rPr>
              <w:t>2023年完成数</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2024年完成数</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color w:val="auto"/>
                <w:sz w:val="20"/>
                <w:szCs w:val="20"/>
                <w:lang w:val="en-US" w:eastAsia="zh-CN"/>
              </w:rPr>
            </w:pPr>
            <w:r/>
            <w:r>
              <w:rPr>
                <w:rFonts w:hint="eastAsia" w:ascii="宋体" w:hAnsi="宋体" w:cs="宋体"/>
                <w:b/>
                <w:color w:val="auto"/>
                <w:sz w:val="20"/>
                <w:szCs w:val="20"/>
                <w:lang w:val="en-US" w:eastAsia="zh-CN"/>
              </w:rPr>
              <w:t>2025年1-9月完成数</w:t>
            </w:r>
          </w:p>
        </w:tc>
      </w:tr>
      <w:tr>
        <w:tc>
          <w:tcPr>
            <w:tcW w:w="2932"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客户资产规模（万元）</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115,190.10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116,956.61</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151,062.90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186,972.25</w:t>
            </w:r>
          </w:p>
        </w:tc>
      </w:tr>
      <w:tr>
        <w:tc>
          <w:tcPr>
            <w:tcW w:w="2932"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股基交易量（万元）</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1,489,060.33</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1,268,795.65</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1,585,690.87</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2,455,633.53</w:t>
            </w:r>
          </w:p>
        </w:tc>
      </w:tr>
      <w:tr>
        <w:tc>
          <w:tcPr>
            <w:tcW w:w="2932"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非货币产品保有量（万元）</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14,466.08</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16,091.96</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15,208.89</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16,635.01</w:t>
            </w:r>
          </w:p>
        </w:tc>
      </w:tr>
      <w:tr>
        <w:tc>
          <w:tcPr>
            <w:tcW w:w="2932"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KPI（百分制）</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64.80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30.48</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63.64</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81.12</w:t>
            </w:r>
          </w:p>
        </w:tc>
      </w:tr>
    </w:tbl>
    <w:p>
      <w:pPr>
        <w:keepNext w:val="0"/>
        <w:keepLines w:val="0"/>
        <w:pageBreakBefore w:val="0"/>
        <w:widowControl/>
        <w:tabs>
          <w:tab w:val="left" w:pos="567"/>
        </w:tabs>
        <w:kinsoku/>
        <w:wordWrap/>
        <w:overflowPunct/>
        <w:topLinePunct w:val="0"/>
        <w:autoSpaceDE/>
        <w:autoSpaceDN/>
        <w:bidi w:val="0"/>
        <w:adjustRightInd/>
        <w:snapToGrid/>
        <w:jc w:val="left"/>
        <w:textAlignment w:val="auto"/>
        <w:rPr>
          <w:rFonts w:hint="eastAsia" w:ascii="仿宋" w:hAnsi="仿宋" w:eastAsia="仿宋"/>
          <w:b/>
          <w:color w:val="auto"/>
          <w:szCs w:val="21"/>
        </w:rPr>
      </w:pPr>
      <w:r>
        <w:rPr>
          <w:rFonts w:hint="eastAsia" w:ascii="仿宋_GB2312" w:hAnsi="仿宋_GB2312" w:eastAsia="仿宋_GB2312" w:cs="仿宋_GB2312"/>
          <w:b/>
          <w:color w:val="auto"/>
          <w:szCs w:val="21"/>
          <w:u w:val="single"/>
        </w:rPr>
        <w:t>表3：指标排名情况</w:t>
      </w:r>
    </w:p>
    <w:tbl>
      <w:tblPr>
        <w:tblStyle w:val="11"/>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5"/>
        <w:gridCol w:w="1465"/>
        <w:gridCol w:w="1465"/>
        <w:gridCol w:w="1465"/>
        <w:gridCol w:w="1465"/>
      </w:tblGrid>
      <w:tr>
        <w:trPr>
          <w:tblHeader/>
        </w:trPr>
        <w:tc>
          <w:tcPr>
            <w:tcW w:w="293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bCs/>
                <w:color w:val="auto"/>
                <w:sz w:val="20"/>
                <w:szCs w:val="20"/>
              </w:rPr>
            </w:pPr>
            <w:r/>
            <w:r>
              <w:rPr>
                <w:rFonts w:hint="eastAsia" w:ascii="宋体" w:hAnsi="宋体" w:eastAsia="宋体" w:cs="宋体"/>
                <w:b/>
                <w:bCs/>
                <w:color w:val="auto"/>
                <w:sz w:val="20"/>
                <w:szCs w:val="20"/>
              </w:rPr>
              <w:t>项目</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2022年排名</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eastAsia="宋体" w:cs="宋体"/>
                <w:b/>
                <w:bCs/>
                <w:color w:val="auto"/>
                <w:kern w:val="2"/>
                <w:sz w:val="20"/>
                <w:szCs w:val="20"/>
                <w:lang w:val="en-US" w:eastAsia="zh-CN" w:bidi="ar-SA"/>
              </w:rPr>
            </w:pPr>
            <w:r/>
            <w:r>
              <w:rPr>
                <w:rFonts w:hint="eastAsia" w:ascii="宋体" w:hAnsi="宋体" w:eastAsia="宋体" w:cs="宋体"/>
                <w:b/>
                <w:color w:val="auto"/>
                <w:sz w:val="20"/>
                <w:szCs w:val="20"/>
              </w:rPr>
              <w:t>2023年排名</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2024年排名</w:t>
            </w:r>
          </w:p>
        </w:tc>
        <w:tc>
          <w:tcPr>
            <w:tcW w:w="1465" w:type="dxa"/>
            <w:tcBorders>
              <w:tl2br w:val="nil"/>
              <w:tr2bl w:val="nil"/>
            </w:tcBorders>
            <w:noWrap w:val="0"/>
            <w:vAlign w:val="center"/>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jc w:val="center"/>
              <w:textAlignment w:val="auto"/>
              <w:rPr>
                <w:rFonts w:hint="eastAsia" w:ascii="宋体" w:hAnsi="宋体" w:cs="宋体"/>
                <w:b/>
                <w:color w:val="auto"/>
                <w:sz w:val="20"/>
                <w:szCs w:val="20"/>
                <w:lang w:val="en-US" w:eastAsia="zh-CN"/>
              </w:rPr>
            </w:pPr>
            <w:r/>
            <w:r>
              <w:rPr>
                <w:rFonts w:hint="eastAsia" w:ascii="宋体" w:hAnsi="宋体" w:cs="宋体"/>
                <w:b/>
                <w:color w:val="auto"/>
                <w:sz w:val="20"/>
                <w:szCs w:val="20"/>
                <w:lang w:val="en-US" w:eastAsia="zh-CN"/>
              </w:rPr>
              <w:t>2025年1-9月排名</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考核收入</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86</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84</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81</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89</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其中：代理买卖证券业务净收入</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79</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83</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82</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86</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产品相关收入</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81</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94</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133</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107</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两融息差净收入</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85</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89</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考核利润</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83</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99</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74</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88</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客户资产规模</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95</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96</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93</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93</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股基交易量</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96</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97</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97</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90</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非货币产品保有量</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98</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89</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91</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90</w:t>
            </w:r>
          </w:p>
        </w:tc>
      </w:tr>
      <w:tr>
        <w:tc>
          <w:tcPr>
            <w:tcW w:w="2935" w:type="dxa"/>
            <w:tcBorders>
              <w:tl2br w:val="nil"/>
              <w:tr2bl w:val="nil"/>
            </w:tcBorders>
            <w:noWrap w:val="0"/>
            <w:vAlign w:val="top"/>
          </w:tcPr>
          <w:p>
            <w:pPr>
              <w:keepNext w:val="0"/>
              <w:keepLines w:val="0"/>
              <w:pageBreakBefore w:val="0"/>
              <w:suppressLineNumbers w:val="0"/>
              <w:kinsoku/>
              <w:wordWrap/>
              <w:overflowPunct/>
              <w:topLinePunct w:val="0"/>
              <w:autoSpaceDE/>
              <w:autoSpaceDN/>
              <w:bidi w:val="0"/>
              <w:adjustRightInd/>
              <w:snapToGrid/>
              <w:spacing w:before="0" w:beforeAutospacing="0" w:after="0" w:afterAutospacing="0"/>
              <w:ind w:left="0" w:right="0"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KPI</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40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115</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60</w:t>
            </w:r>
          </w:p>
        </w:tc>
        <w:tc>
          <w:tcPr>
            <w:tcW w:w="1465" w:type="dxa"/>
            <w:tcBorders>
              <w:tl2br w:val="nil"/>
              <w:tr2bl w:val="nil"/>
            </w:tcBorders>
            <w:noWrap/>
            <w:vAlign w:val="bottom"/>
          </w:tcPr>
          <w:p>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i w:val="0"/>
                <w:iCs w:val="0"/>
                <w:color w:val="auto"/>
                <w:kern w:val="0"/>
                <w:sz w:val="20"/>
                <w:szCs w:val="20"/>
                <w:u w:val="none"/>
                <w:lang w:val="en-US" w:eastAsia="zh-CN" w:bidi="ar"/>
              </w:rPr>
            </w:pPr>
            <w:r/>
            <w:r>
              <w:t>126</w:t>
            </w:r>
          </w:p>
        </w:tc>
      </w:tr>
    </w:tbl>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卢俊同志任职期内，营业部以代理买卖证券业务净收入为主要收入来源。完整年度各项业绩指标总体有所波动，整体排名处于公司所有营业部中游至中下游水平。</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（二）所在营业部内部控制情况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任职期内，其所在营业部岗位设置符合内部控制基本要求，并在业务运行过程中基本落实了不相容职务分离控制、授权审批控制、财产保护控制、预算控制等内部控制措施。从审计情况结合各相关职能部门提供信息来看，其所在营业部未发现重大异常，未发生重大信息安全事故、重大突发事件、未决诉讼、未了结客户投诉等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2025年3月，营业部因未能勤勉履行合规管理要求，对内部审计发现的问题整改不力且屡审屡犯，公司对卢俊同志及其他相关人员进行了合规问责。</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（三）遵守廉洁从业规定情况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任职期内，基本能够贯彻执行国家有关证券市场发展的方针政策，遵守《证券法》《证券公司内部控制指引》《证券经纪业务管理办法》等法律法规以及证券业务规则，执行廉洁从业规定，支持监查员履职，开展廉洁风险防控工作，公司未受理或办理过涉及卢俊同志个人的信访及案件，审计组未发现其个人及其所在营业部存在重大违法违规事项。</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（四）绩效考核情况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2021-2024年度，公司对卢俊同志绩效考核结果分别为B、A、B、B。</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t>三、审计发现的主要问题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任职期内，审计中心上一次对其所在营业部开展审计发现的问题主要包括：账户业务资料不完备、反洗钱工作小组议事机制执行不规范、反洗钱工作不及时、佣金设置错误、未按要求报备制度、员工未申报持股企业、客户回访及通知不规范、档案管理工作薄弱、信息公示不规范、监控及安防管理存缺陷、系统运维管理不符合要求、费用报销不规范等问题。其中反洗钱工作小组议事机制执行不规范问题在本次审计中仍然存在，未有效整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从本次审计情况看，营业部在账户开立及适当性管理、业务流程管理、反洗钱工作、合规管理、综合管理、财务管理等方面存在一般缺陷，主要包括以下问题：</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（一）账户开立及适当性管理</w:t>
      </w:r>
    </w:p>
    <w:p>
      <w:pPr>
        <w:keepNext/>
        <w:keepLines w:val="0"/>
        <w:widowControl/>
        <w:spacing w:line="360" w:lineRule="auto" w:before="0" w:after="0"/>
        <w:jc w:val="both"/>
      </w:pPr>
      <w:r>
        <w:rPr>
          <w:rFonts w:ascii="Times New Roman" w:hAnsi="Times New Roman" w:eastAsia="仿宋_GB2312"/>
          <w:b/>
          <w:sz w:val="32"/>
        </w:rPr>
        <w:t>1.个别客户文件签署影像不规范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公司《投资者适当性管理办法》规定，分支机构现场告知适当性评估结果等全过程应录音或录像，并妥善保管影像资料。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抽查21笔客户账户开立业务，其中1笔机构代理人在账户开立的文件签署视频中全程佩戴口罩，无法辨别客户脸部特征。</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（二）业务流程管理</w:t>
      </w:r>
    </w:p>
    <w:p>
      <w:pPr>
        <w:keepNext/>
        <w:keepLines w:val="0"/>
        <w:widowControl/>
        <w:spacing w:line="360" w:lineRule="auto" w:before="0" w:after="0"/>
        <w:jc w:val="both"/>
      </w:pPr>
      <w:r>
        <w:rPr>
          <w:rFonts w:ascii="Times New Roman" w:hAnsi="Times New Roman" w:eastAsia="仿宋_GB2312"/>
          <w:b/>
          <w:sz w:val="32"/>
        </w:rPr>
        <w:t>1.个别客户适当性管理不完善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公司《投资者适当性管理办法》规定，公司向普通投资者提供的交易服务的风险等级应当与投资者分类结果相匹配。公司认为投资者参与相关交易不适当的，应当拒绝提供相关服务。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审计期内，营业部2名客户适当性管理不到位，已获得的交易服务与其分类结果不匹配，营业部未规范落实后续管理要求。</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（三）反洗钱工作</w:t>
      </w:r>
    </w:p>
    <w:p>
      <w:pPr>
        <w:keepNext/>
        <w:keepLines w:val="0"/>
        <w:widowControl/>
        <w:spacing w:line="360" w:lineRule="auto" w:before="0" w:after="0"/>
        <w:jc w:val="both"/>
      </w:pPr>
      <w:r>
        <w:rPr>
          <w:rFonts w:ascii="Times New Roman" w:hAnsi="Times New Roman" w:eastAsia="仿宋_GB2312"/>
          <w:b/>
          <w:sz w:val="32"/>
        </w:rPr>
        <w:t>1.反洗钱工作小组议事机制执行不规范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分支机构反洗钱工作管理办法》规定，分支机构反洗钱工作小组建立议事机制，每年至少召开四次反洗钱工作会议，议事范围含括：审议分支机构反洗钱工作小组成员变动、分支机构反洗钱年度培训和宣传工作计划及分支机构其他重要反洗钱工作事项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审计发现，营业部反洗钱工作小组议事机制执行不规范。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（1）会议频次不足。2023-2024年期间，反洗钱工作小组仅召开了一次会议，不符合公司制度的频次要求。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（2）议事范围执行不到位。营业部反洗钱年度培训及宣传工作计划等重要事项，均未按规定履行审议程序。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（3）小组人员管理不及时。营业部财务人员因办公地址变更而无法实际履行反洗钱工作职责，营业部未及时对小组成员名单进行更新调整。</w:t>
      </w:r>
    </w:p>
    <w:p>
      <w:pPr>
        <w:keepNext/>
        <w:keepLines w:val="0"/>
        <w:widowControl/>
        <w:spacing w:line="360" w:lineRule="auto" w:before="0" w:after="0"/>
        <w:jc w:val="both"/>
      </w:pPr>
      <w:r>
        <w:rPr>
          <w:rFonts w:ascii="Times New Roman" w:hAnsi="Times New Roman" w:eastAsia="仿宋_GB2312"/>
          <w:b/>
          <w:sz w:val="32"/>
        </w:rPr>
        <w:t>2.个别新开户客户未及时完成风险等级划分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公司《洗钱风险评估及客户分类管理办法》规定，对于新建立业务关系的客户，各单位应在建立业务关系后的10个工作日内划分其风险等级。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审计期内，营业部个别新开户客户的反洗钱风险等级划分未在10个工作日内完成。</w:t>
      </w:r>
    </w:p>
    <w:p>
      <w:pPr>
        <w:keepNext/>
        <w:keepLines w:val="0"/>
        <w:widowControl/>
        <w:spacing w:line="360" w:lineRule="auto" w:before="0" w:after="0"/>
        <w:jc w:val="both"/>
      </w:pPr>
      <w:r>
        <w:rPr>
          <w:rFonts w:ascii="Times New Roman" w:hAnsi="Times New Roman" w:eastAsia="仿宋_GB2312"/>
          <w:b/>
          <w:sz w:val="32"/>
        </w:rPr>
        <w:t>3.部分高风险客户定期审核超期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公司《反洗钱操作指引》规定，营业部应在收到风险等级定期审核流程的10个工作日内完成，高风险客户至少每半年审核一次。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审计发现，营业部部分高风险客户定期审核流程未在规定时间内提交，导致高风险客户定期审核超期。</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（四）合规管理</w:t>
      </w:r>
    </w:p>
    <w:p>
      <w:pPr>
        <w:keepNext/>
        <w:keepLines w:val="0"/>
        <w:widowControl/>
        <w:spacing w:line="360" w:lineRule="auto" w:before="0" w:after="0"/>
        <w:jc w:val="both"/>
      </w:pPr>
      <w:r>
        <w:rPr>
          <w:rFonts w:ascii="Times New Roman" w:hAnsi="Times New Roman" w:eastAsia="仿宋_GB2312"/>
          <w:b/>
          <w:sz w:val="32"/>
        </w:rPr>
        <w:t>1.个别客户佣金设置错误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公司《经纪业务佣金管理办法》规定，客户产生的业务创收应覆盖其交易成本，除个性化佣金费率等特殊情况外，客户佣金标准不得低于最低佣金。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审计发现，2名已开通可转债交易权限的客户，可转债佣金费率低于公司成本。</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（五）综合管理</w:t>
      </w:r>
    </w:p>
    <w:p>
      <w:pPr>
        <w:keepNext/>
        <w:keepLines w:val="0"/>
        <w:widowControl/>
        <w:spacing w:line="360" w:lineRule="auto" w:before="0" w:after="0"/>
        <w:jc w:val="both"/>
      </w:pPr>
      <w:r>
        <w:rPr>
          <w:rFonts w:ascii="Times New Roman" w:hAnsi="Times New Roman" w:eastAsia="仿宋_GB2312"/>
          <w:b/>
          <w:sz w:val="32"/>
        </w:rPr>
        <w:t>1.信息公示不规范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公司《证券经纪业务信息公示管理细则》规定，分支机构营业场所应通过分支机构营业场所等载体，公示包括展业人员信息、相关业务信息、费用与佣金信息等。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审计发现，营业部未按要求公示两融业务信息（融资融券专员、标的证券名单、融资利率及融券费率）及股票期权业务信息（佣金收取标准、保证金收取标准）。</w:t>
      </w:r>
    </w:p>
    <w:p>
      <w:pPr>
        <w:keepNext/>
        <w:keepLines w:val="0"/>
        <w:widowControl/>
        <w:spacing w:line="360" w:lineRule="auto" w:before="0" w:after="0"/>
        <w:jc w:val="both"/>
      </w:pPr>
      <w:r>
        <w:rPr>
          <w:rFonts w:ascii="Times New Roman" w:hAnsi="Times New Roman" w:eastAsia="仿宋_GB2312"/>
          <w:b/>
          <w:sz w:val="32"/>
        </w:rPr>
        <w:t>2.未聘专业机构定期保养安消防设施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公司《安全保卫和消防安全工作管理办法》规定，安防、消防设施需聘请有专业资质的维护保养单位进行定期维护保养，确保设施正常运转。</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审计发现，营业部未聘请专业的消防维保单位对安防、消防设施进行定期维保。</w:t>
      </w:r>
    </w:p>
    <w:p>
      <w:pPr>
        <w:tabs>
          <w:tab w:val="left" w:pos="900"/>
        </w:tabs>
        <w:spacing w:line="560" w:lineRule="exact"/>
        <w:ind w:firstLine="643" w:firstLineChars="200"/>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（六）财务管理</w:t>
      </w:r>
    </w:p>
    <w:p>
      <w:pPr>
        <w:keepNext/>
        <w:keepLines w:val="0"/>
        <w:widowControl/>
        <w:spacing w:line="360" w:lineRule="auto" w:before="0" w:after="0"/>
        <w:jc w:val="both"/>
      </w:pPr>
      <w:r>
        <w:rPr>
          <w:rFonts w:ascii="Times New Roman" w:hAnsi="Times New Roman" w:eastAsia="仿宋_GB2312"/>
          <w:b/>
          <w:sz w:val="32"/>
        </w:rPr>
        <w:t>1.未对长期挂账项目进行清理认定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根据计划财务管理总部关于应付账款清理的相关要求，对于长期挂账应付账款（入账时间五年以上），经确定不再需要支付或认定为确实无法支付的，由营业部申请，经审批后进行清理。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审计发现，营业部存在1笔账龄7年的项目质保金尾款，营业部未按要求对是否需要清理进行认定。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t>四、审计结论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lang w:val="en-US" w:eastAsia="zh-CN"/>
        </w:rPr>
        <w:t>卢俊同志任职期内，基本能够按照国家有关法规和公司规章制度的规定开展各项业务，总体上落实了营业部管理责任和合规与风险管理职责，未发现其所在营业部经营活动及内部控制存在重大违法违规事项或重大内控缺陷。但历次审计发现的问题较多，且个别问题未得到有效整改，营业部合规与风险管理水平有待进一步加强。</w:t>
      </w: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560" w:lineRule="exact"/>
        <w:contextualSpacing/>
        <w:jc w:val="right"/>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color w:val="auto"/>
          <w:kern w:val="0"/>
          <w:sz w:val="32"/>
          <w:szCs w:val="32"/>
          <w:highlight w:val="none"/>
          <w:lang w:val="en-US" w:eastAsia="zh-CN"/>
        </w:rPr>
        <w:t>东方证券股份有限公司</w:t>
      </w: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560" w:lineRule="exact"/>
        <w:contextualSpacing/>
        <w:jc w:val="center"/>
        <w:textAlignment w:val="auto"/>
        <w:rPr>
          <w:color w:val="auto"/>
          <w:sz w:val="32"/>
          <w:szCs w:val="32"/>
          <w:highlight w:val="none"/>
        </w:rPr>
      </w:pPr>
      <w:r>
        <w:rPr>
          <w:rFonts w:hint="eastAsia" w:ascii="仿宋_GB2312" w:hAnsi="仿宋_GB2312" w:eastAsia="仿宋_GB2312" w:cs="仿宋_GB2312"/>
          <w:color w:val="auto"/>
          <w:kern w:val="0"/>
          <w:sz w:val="32"/>
          <w:szCs w:val="32"/>
          <w:highlight w:val="none"/>
        </w:rPr>
        <w:t>2025年12月9日</w:t>
      </w:r>
    </w:p>
    <w:sectPr>
      <w:footerReference r:id="rId5" w:type="default"/>
      <w:pgSz w:w="11906" w:h="16838"/>
      <w:pgMar w:top="2098" w:right="1474" w:bottom="1984" w:left="1587" w:header="851" w:footer="147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6D0F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E002E">
                          <w:pPr>
                            <w:pStyle w:val="8"/>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54E002E">
                    <w:pPr>
                      <w:pStyle w:val="8"/>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EAEB7C"/>
    <w:multiLevelType w:val="singleLevel"/>
    <w:tmpl w:val="D1EAEB7C"/>
    <w:lvl w:ilvl="0" w:tentative="0">
      <w:start w:val="1"/>
      <w:numFmt w:val="chineseCounting"/>
      <w:suff w:val="nothing"/>
      <w:lvlText w:val="（%1）"/>
      <w:lvlJc w:val="left"/>
      <w:rPr>
        <w:rFonts w:hint="eastAsia"/>
      </w:rPr>
    </w:lvl>
  </w:abstractNum>
  <w:abstractNum w:abstractNumId="1">
    <w:nsid w:val="6680120F"/>
    <w:multiLevelType w:val="multilevel"/>
    <w:tmpl w:val="6680120F"/>
    <w:lvl w:ilvl="0" w:tentative="0">
      <w:start w:val="1"/>
      <w:numFmt w:val="chineseCountingThousand"/>
      <w:pStyle w:val="16"/>
      <w:lvlText w:val="第%1条 "/>
      <w:lvlJc w:val="left"/>
      <w:pPr>
        <w:tabs>
          <w:tab w:val="left" w:pos="8188"/>
        </w:tabs>
        <w:ind w:left="6861" w:firstLine="510"/>
      </w:pPr>
      <w:rPr>
        <w:rFonts w:hint="eastAsia" w:ascii="宋体" w:hAnsi="宋体" w:eastAsia="宋体"/>
        <w:b/>
        <w:i w:val="0"/>
        <w:sz w:val="28"/>
        <w:szCs w:val="28"/>
        <w:lang w:val="en-US"/>
      </w:rPr>
    </w:lvl>
    <w:lvl w:ilvl="1" w:tentative="0">
      <w:start w:val="1"/>
      <w:numFmt w:val="bullet"/>
      <w:lvlText w:val=""/>
      <w:lvlJc w:val="left"/>
      <w:pPr>
        <w:tabs>
          <w:tab w:val="left" w:pos="840"/>
        </w:tabs>
        <w:ind w:left="840" w:hanging="420"/>
      </w:pPr>
      <w:rPr>
        <w:rFonts w:hint="default" w:ascii="Wingdings" w:hAnsi="Wingdings"/>
        <w:b w:val="0"/>
        <w:i w:val="0"/>
        <w:sz w:val="24"/>
        <w:lang w:val="en-U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ZjFmNzM3YzZiOWI4NjYwMTE3M2U0OTVkZGQ4MjYifQ=="/>
  </w:docVars>
  <w:rsids>
    <w:rsidRoot w:val="00172A27"/>
    <w:rsid w:val="005D30C9"/>
    <w:rsid w:val="0099421C"/>
    <w:rsid w:val="00A60C15"/>
    <w:rsid w:val="00C1221B"/>
    <w:rsid w:val="012B4701"/>
    <w:rsid w:val="02482280"/>
    <w:rsid w:val="025C5A85"/>
    <w:rsid w:val="03A538DA"/>
    <w:rsid w:val="04566D24"/>
    <w:rsid w:val="05647C58"/>
    <w:rsid w:val="06A967F3"/>
    <w:rsid w:val="078F6507"/>
    <w:rsid w:val="08720FDB"/>
    <w:rsid w:val="0882722B"/>
    <w:rsid w:val="08A50B69"/>
    <w:rsid w:val="08E35ACD"/>
    <w:rsid w:val="08EA08EA"/>
    <w:rsid w:val="09C8421F"/>
    <w:rsid w:val="0AEC6126"/>
    <w:rsid w:val="0B472137"/>
    <w:rsid w:val="0BDA015A"/>
    <w:rsid w:val="0C3A2DC0"/>
    <w:rsid w:val="0C437EAC"/>
    <w:rsid w:val="0CA535B9"/>
    <w:rsid w:val="0D382442"/>
    <w:rsid w:val="0DBA1A57"/>
    <w:rsid w:val="0DFE2FD2"/>
    <w:rsid w:val="0E336FEA"/>
    <w:rsid w:val="0EBA1A18"/>
    <w:rsid w:val="0F070A00"/>
    <w:rsid w:val="0F312975"/>
    <w:rsid w:val="0FAF15CA"/>
    <w:rsid w:val="0FDD289F"/>
    <w:rsid w:val="10BF47F6"/>
    <w:rsid w:val="10EC6BFA"/>
    <w:rsid w:val="114E73C9"/>
    <w:rsid w:val="11F0492A"/>
    <w:rsid w:val="12A61DE7"/>
    <w:rsid w:val="13640907"/>
    <w:rsid w:val="145E7D36"/>
    <w:rsid w:val="151E0725"/>
    <w:rsid w:val="15C12A6C"/>
    <w:rsid w:val="15F335E7"/>
    <w:rsid w:val="160968B4"/>
    <w:rsid w:val="16225394"/>
    <w:rsid w:val="16393604"/>
    <w:rsid w:val="16F245C5"/>
    <w:rsid w:val="17302D4B"/>
    <w:rsid w:val="17A05C63"/>
    <w:rsid w:val="185537EF"/>
    <w:rsid w:val="18AC0211"/>
    <w:rsid w:val="18E555A7"/>
    <w:rsid w:val="18F06CEA"/>
    <w:rsid w:val="19172CDE"/>
    <w:rsid w:val="19723C10"/>
    <w:rsid w:val="199E45AD"/>
    <w:rsid w:val="1A4F7538"/>
    <w:rsid w:val="1AF06749"/>
    <w:rsid w:val="1C347647"/>
    <w:rsid w:val="1C3D55BC"/>
    <w:rsid w:val="1D927C56"/>
    <w:rsid w:val="1F8A35EE"/>
    <w:rsid w:val="1FA26D74"/>
    <w:rsid w:val="1FE411CE"/>
    <w:rsid w:val="20DF1E13"/>
    <w:rsid w:val="21436B6C"/>
    <w:rsid w:val="21645786"/>
    <w:rsid w:val="21906814"/>
    <w:rsid w:val="227C7082"/>
    <w:rsid w:val="22CE5E56"/>
    <w:rsid w:val="246F73F4"/>
    <w:rsid w:val="24DA4142"/>
    <w:rsid w:val="25366C0B"/>
    <w:rsid w:val="253774DB"/>
    <w:rsid w:val="272B19D1"/>
    <w:rsid w:val="27E965F8"/>
    <w:rsid w:val="280139DD"/>
    <w:rsid w:val="291200AA"/>
    <w:rsid w:val="2B587D70"/>
    <w:rsid w:val="2BE37F2A"/>
    <w:rsid w:val="2D7A4174"/>
    <w:rsid w:val="2D9F3639"/>
    <w:rsid w:val="2E1456B9"/>
    <w:rsid w:val="2ECF1614"/>
    <w:rsid w:val="2F0F0C7F"/>
    <w:rsid w:val="2F471FD6"/>
    <w:rsid w:val="3011646C"/>
    <w:rsid w:val="3053558D"/>
    <w:rsid w:val="316C70EB"/>
    <w:rsid w:val="31E71F9D"/>
    <w:rsid w:val="32990593"/>
    <w:rsid w:val="3395231A"/>
    <w:rsid w:val="35156330"/>
    <w:rsid w:val="3555038B"/>
    <w:rsid w:val="36584736"/>
    <w:rsid w:val="36DC1946"/>
    <w:rsid w:val="36E03AAF"/>
    <w:rsid w:val="387C06F5"/>
    <w:rsid w:val="38B06AAB"/>
    <w:rsid w:val="3909536C"/>
    <w:rsid w:val="3ADB44C6"/>
    <w:rsid w:val="3B0B10FB"/>
    <w:rsid w:val="3B64446C"/>
    <w:rsid w:val="3B922EDF"/>
    <w:rsid w:val="3BDE6E11"/>
    <w:rsid w:val="3C206BF6"/>
    <w:rsid w:val="3C2C664B"/>
    <w:rsid w:val="3C58786E"/>
    <w:rsid w:val="3C9F5DAF"/>
    <w:rsid w:val="3D7F0A02"/>
    <w:rsid w:val="3DD06866"/>
    <w:rsid w:val="3DFF2029"/>
    <w:rsid w:val="3E5526D7"/>
    <w:rsid w:val="3E5560C0"/>
    <w:rsid w:val="3FE0175A"/>
    <w:rsid w:val="4035657C"/>
    <w:rsid w:val="40444007"/>
    <w:rsid w:val="407D5405"/>
    <w:rsid w:val="41A437A7"/>
    <w:rsid w:val="43051501"/>
    <w:rsid w:val="432F3601"/>
    <w:rsid w:val="443820E2"/>
    <w:rsid w:val="45F1756C"/>
    <w:rsid w:val="46EC74F0"/>
    <w:rsid w:val="47EE0B23"/>
    <w:rsid w:val="47FA4F3F"/>
    <w:rsid w:val="488F09DA"/>
    <w:rsid w:val="48EC30DD"/>
    <w:rsid w:val="49FA1DAD"/>
    <w:rsid w:val="4ABE6C28"/>
    <w:rsid w:val="4AF73C15"/>
    <w:rsid w:val="4B540985"/>
    <w:rsid w:val="4B766891"/>
    <w:rsid w:val="4C311A4F"/>
    <w:rsid w:val="4DB127EB"/>
    <w:rsid w:val="4DC576B3"/>
    <w:rsid w:val="4E0403D5"/>
    <w:rsid w:val="4F270417"/>
    <w:rsid w:val="4F6D6626"/>
    <w:rsid w:val="4F96261F"/>
    <w:rsid w:val="511E2991"/>
    <w:rsid w:val="51FB26EA"/>
    <w:rsid w:val="5344264D"/>
    <w:rsid w:val="535A1856"/>
    <w:rsid w:val="539D75DA"/>
    <w:rsid w:val="53F50AC1"/>
    <w:rsid w:val="53FA42FF"/>
    <w:rsid w:val="54037228"/>
    <w:rsid w:val="54405A63"/>
    <w:rsid w:val="549464C3"/>
    <w:rsid w:val="54AC639A"/>
    <w:rsid w:val="554B6A39"/>
    <w:rsid w:val="569D4648"/>
    <w:rsid w:val="56A10B7F"/>
    <w:rsid w:val="56FB370D"/>
    <w:rsid w:val="57BD21D8"/>
    <w:rsid w:val="589764A5"/>
    <w:rsid w:val="5A626942"/>
    <w:rsid w:val="5B08058F"/>
    <w:rsid w:val="5B27750A"/>
    <w:rsid w:val="5BB54A78"/>
    <w:rsid w:val="5BD23BBE"/>
    <w:rsid w:val="5C6C43F8"/>
    <w:rsid w:val="5CD72550"/>
    <w:rsid w:val="5DAA17CF"/>
    <w:rsid w:val="5EBA6594"/>
    <w:rsid w:val="5FD23A29"/>
    <w:rsid w:val="610511A3"/>
    <w:rsid w:val="6117313E"/>
    <w:rsid w:val="618D4E73"/>
    <w:rsid w:val="61922894"/>
    <w:rsid w:val="61A73945"/>
    <w:rsid w:val="62B43B95"/>
    <w:rsid w:val="62C23730"/>
    <w:rsid w:val="62CA452F"/>
    <w:rsid w:val="630C2596"/>
    <w:rsid w:val="6390559E"/>
    <w:rsid w:val="639663D5"/>
    <w:rsid w:val="643E7A4A"/>
    <w:rsid w:val="6452495C"/>
    <w:rsid w:val="6600786E"/>
    <w:rsid w:val="661B6392"/>
    <w:rsid w:val="66541C3F"/>
    <w:rsid w:val="67ED7FD7"/>
    <w:rsid w:val="68494728"/>
    <w:rsid w:val="696D1F75"/>
    <w:rsid w:val="699773CC"/>
    <w:rsid w:val="69B8584F"/>
    <w:rsid w:val="6AE23084"/>
    <w:rsid w:val="6B9032E0"/>
    <w:rsid w:val="6D5C7C79"/>
    <w:rsid w:val="6ED8481F"/>
    <w:rsid w:val="6EF423D8"/>
    <w:rsid w:val="6F024D57"/>
    <w:rsid w:val="6FCA0714"/>
    <w:rsid w:val="70561627"/>
    <w:rsid w:val="70C12509"/>
    <w:rsid w:val="713314E6"/>
    <w:rsid w:val="7183034D"/>
    <w:rsid w:val="71A44275"/>
    <w:rsid w:val="72B9708B"/>
    <w:rsid w:val="731916E6"/>
    <w:rsid w:val="73CD2352"/>
    <w:rsid w:val="73F43890"/>
    <w:rsid w:val="74455F31"/>
    <w:rsid w:val="74D930F0"/>
    <w:rsid w:val="74D97B8D"/>
    <w:rsid w:val="75E51635"/>
    <w:rsid w:val="76C578B0"/>
    <w:rsid w:val="77311518"/>
    <w:rsid w:val="775969AD"/>
    <w:rsid w:val="77C82A4C"/>
    <w:rsid w:val="78476AE2"/>
    <w:rsid w:val="784C3080"/>
    <w:rsid w:val="79621190"/>
    <w:rsid w:val="79B13066"/>
    <w:rsid w:val="7A1A7592"/>
    <w:rsid w:val="7ADF641C"/>
    <w:rsid w:val="7B760056"/>
    <w:rsid w:val="7D2C62A2"/>
    <w:rsid w:val="7DA527B2"/>
    <w:rsid w:val="7E272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4"/>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3"/>
    <w:next w:val="1"/>
    <w:semiHidden/>
    <w:unhideWhenUsed/>
    <w:qFormat/>
    <w:uiPriority w:val="0"/>
    <w:pPr>
      <w:keepNext/>
      <w:keepLines/>
      <w:spacing w:beforeLines="0" w:beforeAutospacing="0" w:afterLines="0" w:afterAutospacing="0" w:line="560" w:lineRule="exact"/>
      <w:jc w:val="left"/>
      <w:outlineLvl w:val="2"/>
    </w:pPr>
    <w:rPr>
      <w:rFonts w:ascii="楷体" w:hAnsi="楷体" w:eastAsia="楷体" w:cs="楷体"/>
    </w:rPr>
  </w:style>
  <w:style w:type="character" w:default="1" w:styleId="12">
    <w:name w:val="Default Paragraph Font"/>
    <w:semiHidden/>
    <w:qFormat/>
    <w:uiPriority w:val="0"/>
  </w:style>
  <w:style w:type="table" w:default="1" w:styleId="1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仿宋" w:hAnsi="仿宋" w:eastAsia="宋体" w:cs="仿宋"/>
      <w:color w:val="000000"/>
      <w:sz w:val="24"/>
      <w:szCs w:val="24"/>
      <w:lang w:val="en-US" w:eastAsia="zh-CN" w:bidi="ar-SA"/>
    </w:rPr>
  </w:style>
  <w:style w:type="paragraph" w:styleId="5">
    <w:name w:val="annotation text"/>
    <w:basedOn w:val="1"/>
    <w:qFormat/>
    <w:uiPriority w:val="99"/>
    <w:pPr>
      <w:jc w:val="left"/>
    </w:pPr>
  </w:style>
  <w:style w:type="paragraph" w:styleId="6">
    <w:name w:val="Body Text"/>
    <w:basedOn w:val="1"/>
    <w:qFormat/>
    <w:uiPriority w:val="0"/>
    <w:pPr>
      <w:jc w:val="left"/>
    </w:pPr>
    <w:rPr>
      <w:rFonts w:ascii="宋体"/>
      <w:kern w:val="0"/>
      <w:sz w:val="18"/>
    </w:rPr>
  </w:style>
  <w:style w:type="paragraph" w:styleId="7">
    <w:name w:val="Body Text Indent"/>
    <w:basedOn w:val="1"/>
    <w:qFormat/>
    <w:uiPriority w:val="0"/>
    <w:pPr>
      <w:ind w:left="360" w:firstLine="360"/>
    </w:pPr>
    <w:rPr>
      <w:rFonts w:ascii="楷体_GB2312" w:eastAsia="楷体_GB2312"/>
      <w:sz w:val="28"/>
    </w:rPr>
  </w:style>
  <w:style w:type="paragraph" w:styleId="8">
    <w:name w:val="footer"/>
    <w:basedOn w:val="1"/>
    <w:unhideWhenUsed/>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itle"/>
    <w:basedOn w:val="1"/>
    <w:next w:val="1"/>
    <w:qFormat/>
    <w:uiPriority w:val="0"/>
    <w:pPr>
      <w:spacing w:line="360" w:lineRule="auto"/>
      <w:jc w:val="center"/>
      <w:outlineLvl w:val="0"/>
    </w:pPr>
    <w:rPr>
      <w:rFonts w:ascii="黑体" w:hAnsi="等线 Light" w:eastAsia="黑体" w:cs="Times New Roman"/>
      <w:bCs/>
      <w:sz w:val="36"/>
      <w:szCs w:val="32"/>
    </w:rPr>
  </w:style>
  <w:style w:type="character" w:styleId="13">
    <w:name w:val="annotation reference"/>
    <w:qFormat/>
    <w:uiPriority w:val="99"/>
    <w:rPr>
      <w:sz w:val="21"/>
      <w:szCs w:val="21"/>
    </w:rPr>
  </w:style>
  <w:style w:type="character" w:customStyle="1" w:styleId="14">
    <w:name w:val="font11"/>
    <w:basedOn w:val="12"/>
    <w:qFormat/>
    <w:uiPriority w:val="0"/>
    <w:rPr>
      <w:rFonts w:hint="eastAsia" w:ascii="仿宋" w:hAnsi="仿宋" w:eastAsia="仿宋" w:cs="仿宋"/>
      <w:b/>
      <w:bCs/>
      <w:color w:val="000000"/>
      <w:sz w:val="20"/>
      <w:szCs w:val="20"/>
      <w:u w:val="none"/>
    </w:rPr>
  </w:style>
  <w:style w:type="character" w:customStyle="1" w:styleId="15">
    <w:name w:val="font21"/>
    <w:basedOn w:val="12"/>
    <w:qFormat/>
    <w:uiPriority w:val="0"/>
    <w:rPr>
      <w:rFonts w:hint="eastAsia" w:ascii="仿宋" w:hAnsi="仿宋" w:eastAsia="仿宋" w:cs="仿宋"/>
      <w:b/>
      <w:bCs/>
      <w:color w:val="000000"/>
      <w:sz w:val="20"/>
      <w:szCs w:val="20"/>
      <w:u w:val="none"/>
    </w:rPr>
  </w:style>
  <w:style w:type="paragraph" w:customStyle="1" w:styleId="16">
    <w:name w:val="样式 条样式 +"/>
    <w:basedOn w:val="1"/>
    <w:qFormat/>
    <w:uiPriority w:val="0"/>
    <w:pPr>
      <w:numPr>
        <w:ilvl w:val="0"/>
        <w:numId w:val="1"/>
      </w:numPr>
      <w:tabs>
        <w:tab w:val="left" w:pos="1327"/>
        <w:tab w:val="clear" w:pos="8188"/>
      </w:tabs>
      <w:spacing w:line="360" w:lineRule="auto"/>
      <w:ind w:left="0"/>
    </w:pPr>
    <w:rPr>
      <w:rFonts w:ascii="仿宋_GB2312" w:hAnsi="宋体" w:eastAsia="仿宋_GB2312" w:cs="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2356</Words>
  <Characters>2724</Characters>
  <Lines>1</Lines>
  <Paragraphs>1</Paragraphs>
  <TotalTime>1</TotalTime>
  <ScaleCrop>false</ScaleCrop>
  <LinksUpToDate>false</LinksUpToDate>
  <CharactersWithSpaces>2961</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2023-02-22T08:22:00Z</dcterms:created>
  <dc:creator>gaosiwen</dc:creator>
  <cp:lastModifiedBy>高思文</cp:lastModifiedBy>
  <dcterms:modified xsi:type="dcterms:W3CDTF">2026-06-02T01:19:32Z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F54BDC8094474C28AB7FB9BA8A98D0B8</vt:lpwstr>
  </property>
  <property fmtid="{D5CDD505-2E9C-101B-9397-08002B2CF9AE}" pid="4" name="KSOTemplateDocerSaveRecord">
    <vt:lpwstr>eyJoZGlkIjoiYjhkYjI0NzE1YjU3N2UxY2E0MWI2OTAxNDJlNWNmYzUiLCJ1c2VySWQiOiIzMjE0ODg3MTEifQ==</vt:lpwstr>
  </property>
</Properties>
</file>