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08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val="en-US" w:eastAsia="zh-CN"/>
        </w:rPr>
      </w:pPr>
      <w:bookmarkStart w:id="0" w:name="_Toc82531294"/>
      <w:bookmarkStart w:id="1" w:name="_Toc82531385"/>
    </w:p>
    <w:p w14:paraId="45360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kern w:val="0"/>
          <w:sz w:val="44"/>
          <w:szCs w:val="44"/>
          <w:lang w:val="en-US" w:eastAsia="zh-CN"/>
        </w:rPr>
        <w:t>XX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</w:rPr>
        <w:t>证券营业部</w:t>
      </w:r>
      <w:bookmarkEnd w:id="0"/>
      <w:bookmarkEnd w:id="1"/>
      <w:commentRangeStart w:id="0"/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val="en-US" w:eastAsia="zh-CN"/>
        </w:rPr>
        <w:t>总经理</w:t>
      </w:r>
      <w:commentRangeEnd w:id="0"/>
      <w:r>
        <w:commentReference w:id="0"/>
      </w:r>
    </w:p>
    <w:p w14:paraId="128A0785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textAlignment w:val="auto"/>
        <w:outlineLvl w:val="0"/>
        <w:rPr>
          <w:rFonts w:hint="eastAsia" w:ascii="华文中宋" w:hAnsi="华文中宋" w:eastAsia="华文中宋" w:cs="华文中宋"/>
          <w:b/>
          <w:color w:val="auto"/>
          <w:sz w:val="44"/>
          <w:szCs w:val="44"/>
        </w:rPr>
      </w:pPr>
      <w:bookmarkStart w:id="2" w:name="_Toc97835845"/>
      <w:bookmarkStart w:id="3" w:name="_Toc19131"/>
      <w:bookmarkStart w:id="4" w:name="_Toc82531295"/>
      <w:bookmarkStart w:id="5" w:name="_Toc82534486"/>
      <w:bookmarkStart w:id="6" w:name="_Toc82531386"/>
      <w:bookmarkStart w:id="7" w:name="_Toc16416"/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val="en-US" w:eastAsia="zh-CN"/>
        </w:rPr>
        <w:t>XX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</w:rPr>
        <w:t>同志离任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eastAsia="zh-CN"/>
        </w:rPr>
        <w:t>审计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</w:rPr>
        <w:t>报告</w:t>
      </w:r>
      <w:bookmarkEnd w:id="2"/>
      <w:bookmarkEnd w:id="3"/>
      <w:bookmarkEnd w:id="4"/>
      <w:bookmarkEnd w:id="5"/>
      <w:bookmarkEnd w:id="6"/>
      <w:bookmarkEnd w:id="7"/>
    </w:p>
    <w:p w14:paraId="29F19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 w14:paraId="61BD6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根据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财富管理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委员会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委托，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审计中心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于202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月成立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组，对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证券营业部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总经理XX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同志自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0XX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月至2026年X月期间（以下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简称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任职期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）的履职情况进行了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组依据相关监管规定及公司制度要求，实施了审核、查询、访谈、分析性复核等必要的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程序。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工作结束后，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审计中心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向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同志发出了离任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报告征求意见稿，并收到其对征求意见稿的确认和反馈。现出具报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告如下：</w:t>
      </w:r>
    </w:p>
    <w:p w14:paraId="0C849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</w:rPr>
        <w:t>一、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XX同志职务任免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</w:rPr>
        <w:t>情况</w:t>
      </w:r>
    </w:p>
    <w:p w14:paraId="19691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bookmarkStart w:id="8" w:name="OLE_LINK3"/>
      <w:bookmarkStart w:id="9" w:name="OLE_LINK2"/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20XX年X月X日，</w:t>
      </w:r>
      <w:commentRangeStart w:id="1"/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公司</w:t>
      </w:r>
      <w:commentRangeEnd w:id="1"/>
      <w:r>
        <w:commentReference w:id="1"/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发布《关于XX等同志职务任免的通知》（东证人字[20XX]XX号），聘任XX同志为XX证券营业部总经理。</w:t>
      </w:r>
    </w:p>
    <w:p w14:paraId="636E6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2026年X月X日，财富管理委员会发布《关于XX等同志职务任免的通知》（东证财富[2026]XX号），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免去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同志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证券营业部总经理职务。</w:t>
      </w:r>
    </w:p>
    <w:p w14:paraId="7908E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highlight w:val="none"/>
          <w:lang w:val="en-US" w:eastAsia="zh-CN"/>
        </w:rPr>
        <w:t>二、XX同志任职期内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  <w:t>主要职责及职责履行情况</w:t>
      </w:r>
    </w:p>
    <w:p w14:paraId="5D296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同志担任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证券营业部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总经理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期内，主要工作职责包括负责营业部经营管理，提升营业部经营业绩，完成年度KPI考核指标；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落实分支机构各项合规管理、风险管理、内部控制、反洗钱等工作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对分支机构的合规运营承担管理责任；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经营管理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活动中遵守廉洁从业规定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。任职期内主要职责履行情况如下：</w:t>
      </w:r>
    </w:p>
    <w:p w14:paraId="523D0F2F">
      <w:pPr>
        <w:tabs>
          <w:tab w:val="left" w:pos="900"/>
        </w:tabs>
        <w:spacing w:line="560" w:lineRule="exact"/>
        <w:ind w:firstLine="643" w:firstLineChars="200"/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一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）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所在营业部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经营情况</w:t>
      </w:r>
    </w:p>
    <w:bookmarkEnd w:id="8"/>
    <w:bookmarkEnd w:id="9"/>
    <w:p w14:paraId="5DC14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XX同志任职期内，</w:t>
      </w:r>
      <w:commentRangeStart w:id="2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其所在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营业部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近三年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主要经营情况详见下表</w:t>
      </w:r>
      <w:commentRangeEnd w:id="2"/>
      <w:r>
        <w:commentReference w:id="2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：</w:t>
      </w:r>
    </w:p>
    <w:p w14:paraId="268AAF12">
      <w:pPr>
        <w:keepNext w:val="0"/>
        <w:keepLines w:val="0"/>
        <w:pageBreakBefore w:val="0"/>
        <w:tabs>
          <w:tab w:val="left" w:pos="900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_GB2312" w:hAnsi="仿宋_GB2312" w:eastAsia="仿宋_GB2312" w:cs="仿宋_GB2312"/>
          <w:color w:val="auto"/>
          <w:szCs w:val="21"/>
        </w:rPr>
      </w:pP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</w:rPr>
        <w:t>表1：</w:t>
      </w: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  <w:lang w:val="en-US" w:eastAsia="zh-CN"/>
        </w:rPr>
        <w:t>财务指标</w:t>
      </w:r>
      <w:r>
        <w:rPr>
          <w:rFonts w:hint="eastAsia" w:ascii="仿宋_GB2312" w:hAnsi="仿宋_GB2312" w:eastAsia="仿宋_GB2312" w:cs="仿宋_GB2312"/>
          <w:b/>
          <w:color w:val="auto"/>
          <w:szCs w:val="21"/>
        </w:rPr>
        <w:t xml:space="preserve">                                                   </w:t>
      </w:r>
      <w:r>
        <w:rPr>
          <w:rFonts w:hint="eastAsia" w:ascii="仿宋_GB2312" w:hAnsi="仿宋_GB2312" w:eastAsia="仿宋_GB2312" w:cs="仿宋_GB2312"/>
          <w:b/>
          <w:color w:val="auto"/>
          <w:szCs w:val="21"/>
          <w:lang w:val="en-US" w:eastAsia="zh-CN"/>
        </w:rPr>
        <w:t xml:space="preserve">         </w:t>
      </w:r>
      <w:r>
        <w:rPr>
          <w:rFonts w:hint="eastAsia" w:ascii="仿宋_GB2312" w:hAnsi="仿宋_GB2312" w:eastAsia="仿宋_GB2312" w:cs="仿宋_GB2312"/>
          <w:b/>
          <w:color w:val="auto"/>
          <w:szCs w:val="21"/>
        </w:rPr>
        <w:t>单位：万元</w:t>
      </w:r>
    </w:p>
    <w:tbl>
      <w:tblPr>
        <w:tblStyle w:val="11"/>
        <w:tblW w:w="485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1461"/>
        <w:gridCol w:w="1461"/>
        <w:gridCol w:w="1461"/>
        <w:gridCol w:w="1463"/>
      </w:tblGrid>
      <w:tr w14:paraId="27C5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noWrap w:val="0"/>
            <w:vAlign w:val="center"/>
          </w:tcPr>
          <w:p w14:paraId="79821D7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0"/>
              </w:rPr>
              <w:t>项目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 w:val="0"/>
            <w:vAlign w:val="center"/>
          </w:tcPr>
          <w:p w14:paraId="65A92FE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完成数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 w:val="0"/>
            <w:vAlign w:val="center"/>
          </w:tcPr>
          <w:p w14:paraId="18F63E3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完成数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 w:val="0"/>
            <w:vAlign w:val="center"/>
          </w:tcPr>
          <w:p w14:paraId="2EB39F9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完成数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 w:val="0"/>
            <w:vAlign w:val="center"/>
          </w:tcPr>
          <w:p w14:paraId="6405BA5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2026年1-3月完成数</w:t>
            </w:r>
          </w:p>
        </w:tc>
      </w:tr>
      <w:tr w14:paraId="56F2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noWrap w:val="0"/>
            <w:vAlign w:val="top"/>
          </w:tcPr>
          <w:p w14:paraId="0832999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考核收入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1CD30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5B2C8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64426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4AB9C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06A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366C0A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其中：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代理买卖证券业务净收入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58BCE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24EEA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16F22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0AAA8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BE2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70CE16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602" w:firstLineChars="30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客户保证金利息净收入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149A2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6F48ED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24A80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2FCA2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7BE8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D5920A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602" w:firstLineChars="300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产品相关收入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11D9A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163D0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21295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49043B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09A9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B76C00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602" w:firstLineChars="300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两融息差净收入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308EF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15DDB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3B14E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50A90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37C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1E10891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602" w:firstLineChars="30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其他收入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57F0A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5E8F23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0E4AB8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32A9CF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1B7E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028D0F3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业务管理费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7A03F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6C0E8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1D6DA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C188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EDF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  <w:jc w:val="center"/>
        </w:trPr>
        <w:tc>
          <w:tcPr>
            <w:tcW w:w="1675" w:type="pct"/>
            <w:tcBorders>
              <w:tl2br w:val="nil"/>
              <w:tr2bl w:val="nil"/>
            </w:tcBorders>
            <w:shd w:val="clear" w:color="auto" w:fill="auto"/>
            <w:noWrap w:val="0"/>
            <w:vAlign w:val="top"/>
          </w:tcPr>
          <w:p w14:paraId="33B6A61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考核利润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2189F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2EE1F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0" w:type="pct"/>
            <w:tcBorders>
              <w:tl2br w:val="nil"/>
              <w:tr2bl w:val="nil"/>
            </w:tcBorders>
            <w:noWrap/>
            <w:vAlign w:val="bottom"/>
          </w:tcPr>
          <w:p w14:paraId="558960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12AC0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</w:tbl>
    <w:p w14:paraId="4D845AEF">
      <w:pPr>
        <w:keepNext w:val="0"/>
        <w:keepLines w:val="0"/>
        <w:pageBreakBefore w:val="0"/>
        <w:widowControl/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  <w:lang w:val="en-US" w:eastAsia="zh-CN"/>
        </w:rPr>
        <w:t>备注：</w:t>
      </w: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</w:rPr>
        <w:t>代</w:t>
      </w: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  <w:lang w:val="en-US" w:eastAsia="zh-CN"/>
        </w:rPr>
        <w:t>理</w:t>
      </w: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</w:rPr>
        <w:t>买卖证券业务净收入扣除经纪人提成</w:t>
      </w: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  <w:lang w:eastAsia="zh-CN"/>
        </w:rPr>
        <w:t>。</w:t>
      </w:r>
    </w:p>
    <w:p w14:paraId="4373B11E">
      <w:pPr>
        <w:keepNext w:val="0"/>
        <w:keepLines w:val="0"/>
        <w:pageBreakBefore w:val="0"/>
        <w:widowControl/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ascii="仿宋" w:hAnsi="仿宋" w:eastAsia="仿宋"/>
          <w:b/>
          <w:color w:val="auto"/>
          <w:szCs w:val="21"/>
        </w:rPr>
      </w:pP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</w:rPr>
        <w:t>表</w:t>
      </w: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</w:rPr>
        <w:t>：</w:t>
      </w: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  <w:lang w:val="en-US" w:eastAsia="zh-CN"/>
        </w:rPr>
        <w:t>业绩指标</w:t>
      </w:r>
      <w:r>
        <w:rPr>
          <w:rFonts w:hint="eastAsia" w:ascii="仿宋" w:hAnsi="仿宋" w:eastAsia="仿宋"/>
          <w:b/>
          <w:color w:val="auto"/>
          <w:szCs w:val="21"/>
        </w:rPr>
        <w:t xml:space="preserve">                                         </w:t>
      </w:r>
    </w:p>
    <w:tbl>
      <w:tblPr>
        <w:tblStyle w:val="11"/>
        <w:tblW w:w="485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1465"/>
        <w:gridCol w:w="1465"/>
        <w:gridCol w:w="1465"/>
        <w:gridCol w:w="1466"/>
      </w:tblGrid>
      <w:tr w14:paraId="1491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exact"/>
          <w:jc w:val="center"/>
        </w:trPr>
        <w:tc>
          <w:tcPr>
            <w:tcW w:w="1667" w:type="pct"/>
            <w:tcBorders>
              <w:tl2br w:val="nil"/>
              <w:tr2bl w:val="nil"/>
            </w:tcBorders>
            <w:noWrap w:val="0"/>
            <w:vAlign w:val="center"/>
          </w:tcPr>
          <w:p w14:paraId="2B7DEAF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0"/>
              </w:rPr>
              <w:t>项目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 w:val="0"/>
            <w:vAlign w:val="center"/>
          </w:tcPr>
          <w:p w14:paraId="4A8CD20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完成数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 w:val="0"/>
            <w:vAlign w:val="center"/>
          </w:tcPr>
          <w:p w14:paraId="74815A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完成数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 w:val="0"/>
            <w:vAlign w:val="center"/>
          </w:tcPr>
          <w:p w14:paraId="03780DD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025年完成数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 w:val="0"/>
            <w:vAlign w:val="center"/>
          </w:tcPr>
          <w:p w14:paraId="4AAF014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2026年1-3月完成数</w:t>
            </w:r>
          </w:p>
        </w:tc>
      </w:tr>
      <w:tr w14:paraId="6513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7" w:type="pct"/>
            <w:tcBorders>
              <w:tl2br w:val="nil"/>
              <w:tr2bl w:val="nil"/>
            </w:tcBorders>
            <w:noWrap w:val="0"/>
            <w:vAlign w:val="center"/>
          </w:tcPr>
          <w:p w14:paraId="4F90272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客户资产规模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万元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eastAsia="zh-CN"/>
              </w:rPr>
              <w:t>）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12C07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37CDE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2053C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69D75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E0B0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7" w:type="pct"/>
            <w:tcBorders>
              <w:tl2br w:val="nil"/>
              <w:tr2bl w:val="nil"/>
            </w:tcBorders>
            <w:noWrap w:val="0"/>
            <w:vAlign w:val="center"/>
          </w:tcPr>
          <w:p w14:paraId="204DD3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股基交易量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万元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  <w:t>）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3C94E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65F8F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21BBC9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59F85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6D9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7" w:type="pct"/>
            <w:tcBorders>
              <w:tl2br w:val="nil"/>
              <w:tr2bl w:val="nil"/>
            </w:tcBorders>
            <w:noWrap w:val="0"/>
            <w:vAlign w:val="center"/>
          </w:tcPr>
          <w:p w14:paraId="7A75FE1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非货币产品保有量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万元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eastAsia="zh-CN"/>
              </w:rPr>
              <w:t>）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23E310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2EA375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21BA3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1DC4E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BB9B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7" w:type="pct"/>
            <w:tcBorders>
              <w:tl2br w:val="nil"/>
              <w:tr2bl w:val="nil"/>
            </w:tcBorders>
            <w:noWrap w:val="0"/>
            <w:vAlign w:val="center"/>
          </w:tcPr>
          <w:p w14:paraId="05F4CC8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KPI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百分制</w:t>
            </w: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eastAsia="zh-CN"/>
              </w:rPr>
              <w:t>）</w:t>
            </w: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4A133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10308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6C2FF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3" w:type="pct"/>
            <w:tcBorders>
              <w:tl2br w:val="nil"/>
              <w:tr2bl w:val="nil"/>
            </w:tcBorders>
            <w:noWrap/>
            <w:vAlign w:val="bottom"/>
          </w:tcPr>
          <w:p w14:paraId="2FC26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</w:tbl>
    <w:p w14:paraId="109D8EE6">
      <w:pPr>
        <w:keepNext w:val="0"/>
        <w:keepLines w:val="0"/>
        <w:pageBreakBefore w:val="0"/>
        <w:widowControl/>
        <w:tabs>
          <w:tab w:val="left" w:pos="567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/>
          <w:b/>
          <w:color w:val="auto"/>
          <w:szCs w:val="21"/>
        </w:rPr>
      </w:pP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</w:rPr>
        <w:t>表</w:t>
      </w: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</w:rPr>
        <w:t>：</w:t>
      </w:r>
      <w:r>
        <w:rPr>
          <w:rFonts w:hint="eastAsia" w:ascii="仿宋_GB2312" w:hAnsi="仿宋_GB2312" w:eastAsia="仿宋_GB2312" w:cs="仿宋_GB2312"/>
          <w:b/>
          <w:color w:val="auto"/>
          <w:szCs w:val="21"/>
          <w:u w:val="single"/>
          <w:lang w:val="en-US" w:eastAsia="zh-CN"/>
        </w:rPr>
        <w:t>指标排名情况</w:t>
      </w:r>
      <w:r>
        <w:rPr>
          <w:rFonts w:hint="eastAsia" w:ascii="仿宋" w:hAnsi="仿宋" w:eastAsia="仿宋"/>
          <w:b/>
          <w:color w:val="auto"/>
          <w:szCs w:val="21"/>
        </w:rPr>
        <w:t xml:space="preserve">  </w:t>
      </w:r>
    </w:p>
    <w:tbl>
      <w:tblPr>
        <w:tblStyle w:val="11"/>
        <w:tblW w:w="485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5"/>
        <w:gridCol w:w="1465"/>
        <w:gridCol w:w="1465"/>
        <w:gridCol w:w="1465"/>
        <w:gridCol w:w="1465"/>
      </w:tblGrid>
      <w:tr w14:paraId="1866F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center"/>
          </w:tcPr>
          <w:p w14:paraId="50D34CA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0"/>
              </w:rPr>
              <w:t>项目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 w:val="0"/>
            <w:vAlign w:val="center"/>
          </w:tcPr>
          <w:p w14:paraId="7F3B8D6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年排名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 w:val="0"/>
            <w:vAlign w:val="center"/>
          </w:tcPr>
          <w:p w14:paraId="2044E10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20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年排名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 w:val="0"/>
            <w:vAlign w:val="center"/>
          </w:tcPr>
          <w:p w14:paraId="68BA1F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025年排名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 w:val="0"/>
            <w:vAlign w:val="center"/>
          </w:tcPr>
          <w:p w14:paraId="4A6DFE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2026年1-3月</w:t>
            </w:r>
          </w:p>
          <w:p w14:paraId="025316E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排名</w:t>
            </w:r>
          </w:p>
        </w:tc>
      </w:tr>
      <w:tr w14:paraId="201E9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top"/>
          </w:tcPr>
          <w:p w14:paraId="1D5952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考核收入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6918D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7EAE5F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170BC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2A0A3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ABB0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top"/>
          </w:tcPr>
          <w:p w14:paraId="7634686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sz w:val="20"/>
                <w:szCs w:val="20"/>
                <w:lang w:val="en-US" w:eastAsia="zh-CN"/>
              </w:rPr>
              <w:t>其中：</w:t>
            </w: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代理买卖证券业务净收入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284E6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0EA0B9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33BE5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3831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D0A6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top"/>
          </w:tcPr>
          <w:p w14:paraId="516C515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602" w:firstLineChars="30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0"/>
                <w:szCs w:val="20"/>
              </w:rPr>
              <w:t>产品相关收入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34066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77AAB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114FB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3A6B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1E5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top"/>
          </w:tcPr>
          <w:p w14:paraId="55DF3B9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602" w:firstLineChars="30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两融息差净收入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5E50F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2CB17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0A5D3C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2F6292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ADB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top"/>
          </w:tcPr>
          <w:p w14:paraId="1E675B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  <w:lang w:val="en-US" w:eastAsia="zh-CN"/>
              </w:rPr>
              <w:t>考核利润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0F696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2B8EA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5A7397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7AF39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84E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center"/>
          </w:tcPr>
          <w:p w14:paraId="7894AD0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客户资产规模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C68C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3AE2D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93B6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7849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2324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center"/>
          </w:tcPr>
          <w:p w14:paraId="3F5ED0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股基交易量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74979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56E1C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77F3F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59911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1F8F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center"/>
          </w:tcPr>
          <w:p w14:paraId="25AB290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非货币产品保有量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49425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8BD1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1B48D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59CFB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3C6E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exact"/>
          <w:jc w:val="center"/>
        </w:trPr>
        <w:tc>
          <w:tcPr>
            <w:tcW w:w="1668" w:type="pct"/>
            <w:tcBorders>
              <w:tl2br w:val="nil"/>
              <w:tr2bl w:val="nil"/>
            </w:tcBorders>
            <w:noWrap w:val="0"/>
            <w:vAlign w:val="center"/>
          </w:tcPr>
          <w:p w14:paraId="4E9050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0"/>
                <w:szCs w:val="24"/>
              </w:rPr>
              <w:t>KPI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64234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06C65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4F524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832" w:type="pct"/>
            <w:tcBorders>
              <w:tl2br w:val="nil"/>
              <w:tr2bl w:val="nil"/>
            </w:tcBorders>
            <w:noWrap/>
            <w:vAlign w:val="bottom"/>
          </w:tcPr>
          <w:p w14:paraId="71D8D8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</w:tbl>
    <w:p w14:paraId="024EB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ascii="仿宋_GB2312" w:hAnsi="仿宋_GB2312" w:eastAsia="仿宋_GB2312" w:cs="仿宋_GB2312"/>
          <w:bCs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</w:rPr>
        <w:t>备注：上述排名剔除已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  <w:lang w:val="en-US" w:eastAsia="zh-CN"/>
        </w:rPr>
        <w:t>撤销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</w:rPr>
        <w:t>营业部。</w:t>
      </w: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  <w:lang w:val="en-US" w:eastAsia="zh-CN"/>
        </w:rPr>
        <w:t>2023年-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</w:rPr>
        <w:t>202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</w:rPr>
        <w:t>年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  <w:lang w:val="en-US" w:eastAsia="zh-CN"/>
        </w:rPr>
        <w:t>3月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</w:rPr>
        <w:t>，参与排名的营业部年度家数</w:t>
      </w: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  <w:lang w:val="en-US" w:eastAsia="zh-CN"/>
        </w:rPr>
        <w:t>分别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</w:rPr>
        <w:t>为</w:t>
      </w:r>
      <w:r>
        <w:rPr>
          <w:rFonts w:hint="eastAsia" w:ascii="仿宋_GB2312" w:hAnsi="仿宋_GB2312" w:eastAsia="仿宋_GB2312" w:cs="仿宋_GB2312"/>
          <w:b w:val="0"/>
          <w:bCs/>
          <w:color w:val="auto"/>
          <w:szCs w:val="21"/>
          <w:u w:val="none"/>
          <w:lang w:val="en-US" w:eastAsia="zh-CN"/>
        </w:rPr>
        <w:t>168家、169家、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</w:rPr>
        <w:t>16</w:t>
      </w:r>
      <w:r>
        <w:rPr>
          <w:rFonts w:hint="eastAsia" w:ascii="仿宋_GB2312" w:hAnsi="仿宋_GB2312" w:eastAsia="仿宋_GB2312" w:cs="仿宋_GB2312"/>
          <w:bCs/>
          <w:color w:val="auto"/>
          <w:sz w:val="21"/>
          <w:szCs w:val="21"/>
          <w:u w:val="none"/>
          <w:lang w:val="en-US" w:eastAsia="zh-CN"/>
        </w:rPr>
        <w:t>6家、166家。</w:t>
      </w:r>
    </w:p>
    <w:p w14:paraId="49760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commentRangeStart w:id="3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同志任职期内，</w:t>
      </w:r>
      <w:commentRangeStart w:id="4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其所在</w:t>
      </w:r>
      <w:commentRangeEnd w:id="4"/>
      <w:r>
        <w:commentReference w:id="4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营业部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除2024年出现亏损外，其余年度均实现盈利。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从近三年经营情况来看，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营业部以代理买卖证券业务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收入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为主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要收入来源，股基交易量指标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处于公司所有营业部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上游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水平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其余各项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指标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基本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处于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中游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水平。</w:t>
      </w:r>
      <w:commentRangeEnd w:id="3"/>
      <w:r>
        <w:commentReference w:id="3"/>
      </w:r>
      <w:bookmarkStart w:id="10" w:name="_GoBack"/>
      <w:bookmarkEnd w:id="10"/>
    </w:p>
    <w:p w14:paraId="1151E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）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所在营业部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内部控制情况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ab/>
      </w:r>
    </w:p>
    <w:p w14:paraId="67049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同志任职期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，其所在营业部岗位设置符合内部控制基本要求，并在业务运行过程中基本落实了不相容职务分离控制、授权审批控制、财产保护控制、预算控制等内部控制措施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commentRangeStart w:id="5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基本落实了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客户账户管理、适当性管理、</w:t>
      </w:r>
      <w:r>
        <w:rPr>
          <w:rFonts w:hint="eastAsia" w:ascii="仿宋_GB2312" w:hAnsi="仿宋_GB2312" w:eastAsia="仿宋_GB2312" w:cs="仿宋_GB2312"/>
          <w:sz w:val="32"/>
          <w:szCs w:val="32"/>
        </w:rPr>
        <w:t>员工执业行为管理、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反洗钱工作、客户投诉处理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廉洁从业管理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等重点领域</w:t>
      </w:r>
      <w:commentRangeEnd w:id="5"/>
      <w:r>
        <w:commentReference w:id="5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的法律法规及公司制度要求。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情况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结合各相关职能部门提供信息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来看，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其所在营业部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未发现重大异常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未发生重大信息安全事故、重大突发事件、未决诉讼、未了结客户投诉等事项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 w14:paraId="349A78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/>
        </w:rPr>
      </w:pPr>
      <w:commentRangeStart w:id="6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XX年X月，营业部一名员工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……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，公司于202X年X月对该名员工、直接管理人及营业部负责人予以合规问责</w:t>
      </w:r>
      <w:commentRangeEnd w:id="6"/>
      <w:r>
        <w:commentReference w:id="6"/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 w14:paraId="5F44B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（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三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）遵守廉洁从业规定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情况</w:t>
      </w:r>
    </w:p>
    <w:p w14:paraId="3A276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同志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任职期内，基本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能够贯彻执行国家有关证券市场发展的方针政策，遵守《证券法》《证券公司内部控制指引》《证券经纪业务管理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》等法律法规以及证券业务规则，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执行廉洁从业规定，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支持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监查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员履职，开展廉洁风险防控工作，</w:t>
      </w:r>
      <w:commentRangeStart w:id="7"/>
      <w:r>
        <w:rPr>
          <w:rFonts w:hint="eastAsia" w:ascii="仿宋_GB2312" w:hAnsi="仿宋_GB2312" w:eastAsia="仿宋_GB2312" w:cs="仿宋_GB2312"/>
          <w:sz w:val="32"/>
          <w:szCs w:val="32"/>
        </w:rPr>
        <w:t>公司未受理或办理过涉及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sz w:val="32"/>
          <w:szCs w:val="32"/>
        </w:rPr>
        <w:t>同志个人的信访及案件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未发现其个人及其所在营业部存在重大违法违规事项。</w:t>
      </w:r>
      <w:commentRangeEnd w:id="7"/>
      <w:r>
        <w:commentReference w:id="7"/>
      </w:r>
    </w:p>
    <w:p w14:paraId="2C0C8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eastAsia="zh-CN"/>
        </w:rPr>
        <w:t>（四）绩效考核情况</w:t>
      </w:r>
    </w:p>
    <w:p w14:paraId="63401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20XX-2020年度，公司对XX同志的绩效考核结果分别为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……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。2021-2025年度，绩效考核结果分别为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……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。</w:t>
      </w:r>
    </w:p>
    <w:p w14:paraId="074CC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lang w:val="en-US" w:eastAsia="zh-CN"/>
        </w:rPr>
        <w:t>三、审计发现的主要问题</w:t>
      </w:r>
    </w:p>
    <w:p w14:paraId="7E25B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commentRangeStart w:id="8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同志任职期内，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审计中心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对其所在营业部进行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的历次审计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发现的问题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主要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包括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佣金制度修订不规范、未留存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电话调佣客户录音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、融资融券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客户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通知留痕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不规范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核心设备超期使用、未设置密码保护提示牌、空白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合同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领用不规范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未留存应急演练记录、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反洗钱工作制度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修订不及时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、个别可疑交易甄别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超期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个别监管函件录入超期等。前次审计发现的问题均已整改，本次审计未发现同类问题。</w:t>
      </w:r>
      <w:commentRangeEnd w:id="8"/>
      <w:r>
        <w:commentReference w:id="8"/>
      </w:r>
    </w:p>
    <w:p w14:paraId="1493E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从本次审计情况看，营业部在综合管理以及信息系统管理等内部控制方面存在一般缺陷，主要包括以下问题：</w:t>
      </w:r>
    </w:p>
    <w:p w14:paraId="157A0A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综合管理</w:t>
      </w:r>
    </w:p>
    <w:p w14:paraId="04E8D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……</w:t>
      </w:r>
    </w:p>
    <w:p w14:paraId="7AAB7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auto"/>
          <w:sz w:val="32"/>
          <w:szCs w:val="32"/>
          <w:lang w:val="en-US" w:eastAsia="zh-CN"/>
        </w:rPr>
        <w:t>（二）信息系统管理</w:t>
      </w:r>
    </w:p>
    <w:p w14:paraId="256CD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……</w:t>
      </w:r>
    </w:p>
    <w:p w14:paraId="6EA5A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>、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  <w:lang w:eastAsia="zh-CN"/>
        </w:rPr>
        <w:t>审计</w:t>
      </w:r>
      <w:r>
        <w:rPr>
          <w:rFonts w:hint="eastAsia" w:ascii="黑体" w:hAnsi="黑体" w:eastAsia="黑体" w:cs="黑体"/>
          <w:b w:val="0"/>
          <w:bCs/>
          <w:color w:val="auto"/>
          <w:sz w:val="32"/>
          <w:szCs w:val="32"/>
        </w:rPr>
        <w:t>结论</w:t>
      </w:r>
    </w:p>
    <w:p w14:paraId="0453A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XX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同志任职期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内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基本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能够按照国家有关法规和公司规章制度的规定开展各项业务，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总体上落实了营业部管理责任和合规与风险管理职责，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未发现其所在营业部经营活动及内部控制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存在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重大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违法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违规事项或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重大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内控缺陷</w:t>
      </w:r>
      <w:commentRangeStart w:id="9"/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  <w:commentRangeEnd w:id="9"/>
      <w:r>
        <w:commentReference w:id="9"/>
      </w:r>
    </w:p>
    <w:p w14:paraId="1E433959">
      <w:pPr>
        <w:spacing w:line="560" w:lineRule="exact"/>
        <w:ind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29D821CB">
      <w:pPr>
        <w:spacing w:line="560" w:lineRule="exact"/>
        <w:ind w:firstLine="640" w:firstLineChars="200"/>
        <w:jc w:val="center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23C878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560" w:lineRule="exact"/>
        <w:ind w:firstLine="0" w:firstLineChars="0"/>
        <w:contextualSpacing/>
        <w:jc w:val="left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 xml:space="preserve"> </w:t>
      </w:r>
    </w:p>
    <w:p w14:paraId="3C3D1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560" w:lineRule="exact"/>
        <w:contextualSpacing/>
        <w:jc w:val="right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 xml:space="preserve">                               东方证券股份有限公司</w:t>
      </w:r>
    </w:p>
    <w:p w14:paraId="54D77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560" w:lineRule="exact"/>
        <w:contextualSpacing/>
        <w:jc w:val="center"/>
        <w:textAlignment w:val="auto"/>
        <w:rPr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 xml:space="preserve">                                    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  <w:t>202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  <w:t>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X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  <w:t xml:space="preserve">日 </w:t>
      </w:r>
    </w:p>
    <w:p w14:paraId="1BEB99D6">
      <w:pPr>
        <w:spacing w:line="560" w:lineRule="exact"/>
        <w:ind w:firstLine="600" w:firstLineChars="200"/>
        <w:jc w:val="center"/>
        <w:rPr>
          <w:rFonts w:hint="eastAsia" w:ascii="仿宋_GB2312" w:hAnsi="仿宋_GB2312" w:eastAsia="仿宋_GB2312" w:cs="仿宋_GB2312"/>
          <w:color w:val="auto"/>
          <w:sz w:val="30"/>
          <w:szCs w:val="30"/>
        </w:rPr>
      </w:pPr>
    </w:p>
    <w:sectPr>
      <w:footerReference r:id="rId5" w:type="default"/>
      <w:pgSz w:w="11906" w:h="16838"/>
      <w:pgMar w:top="2098" w:right="1474" w:bottom="1984" w:left="1587" w:header="851" w:footer="1474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yanghaoming" w:date="2026-03-23T11:00:56Z" w:initials="y">
    <w:p w14:paraId="2F2B0B53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如果为非总经理职务，则用“负责人”，下同。</w:t>
      </w:r>
    </w:p>
  </w:comment>
  <w:comment w:id="1" w:author="高思文" w:date="2024-01-03T16:19:04Z" w:initials="gaolet">
    <w:p w14:paraId="148620B7">
      <w:pPr>
        <w:pStyle w:val="5"/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如果是人力资源管理总部发布的通知，就写公司发布……；如果是财富管理委员会发布的通知，就写财富管理委员会发布……，注意括号里的号文需与发布主体保持一致</w:t>
      </w:r>
    </w:p>
  </w:comment>
  <w:comment w:id="2" w:author="yanghaoming" w:date="2026-03-17T14:31:20Z" w:initials="y">
    <w:p w14:paraId="42A400AF"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表格列示最近完整3年以及本年序时进度经营情况，但文字评价部分需涵盖负责人整个任期，可总体概括，无需逐年写。若负责人任期未满3年，则删除“近三年”字样</w:t>
      </w:r>
    </w:p>
  </w:comment>
  <w:comment w:id="4" w:author="高思文" w:date="2026-06-02T09:19:15Z" w:initials="gaolet">
    <w:p w14:paraId="5B5EC086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离任报告，前面加上“其所在”三个字</w:t>
      </w:r>
    </w:p>
  </w:comment>
  <w:comment w:id="3" w:author="yanghaoming" w:date="2026-03-17T14:34:53Z" w:initials="y">
    <w:p w14:paraId="2B6A11E7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根据实际情况描述</w:t>
      </w:r>
    </w:p>
  </w:comment>
  <w:comment w:id="5" w:author="高思文" w:date="2026-06-01T15:32:56Z" w:initials="gaolet">
    <w:p w14:paraId="4B70D392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6大领域，与常规报告描述同步</w:t>
      </w:r>
    </w:p>
  </w:comment>
  <w:comment w:id="6" w:author="yanghaoming" w:date="2026-03-20T15:06:58Z" w:initials="y">
    <w:p w14:paraId="125434F2">
      <w:pPr>
        <w:pStyle w:val="5"/>
      </w:pPr>
      <w:r>
        <w:rPr>
          <w:rFonts w:hint="eastAsia"/>
          <w:lang w:val="en-US" w:eastAsia="zh-CN"/>
        </w:rPr>
        <w:t>如有被公司合规问责，简要描述合规问责事由和人员情况。</w:t>
      </w:r>
    </w:p>
  </w:comment>
  <w:comment w:id="7" w:author="yanghaoming" w:date="2026-03-20T10:26:04Z" w:initials="y">
    <w:p w14:paraId="4CE657AA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根据实际情况描述。</w:t>
      </w:r>
    </w:p>
    <w:p w14:paraId="235D446C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如有信访情况，另起一段简要描述信访及调查结果。</w:t>
      </w:r>
    </w:p>
  </w:comment>
  <w:comment w:id="8" w:author="yanghaoming" w:date="2026-03-17T14:41:51Z" w:initials="y">
    <w:p w14:paraId="3C4E146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如果任职期内没有做过审计，则此段不写。</w:t>
      </w:r>
    </w:p>
    <w:p w14:paraId="11D22571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历次审计问题整改情况根据实际情况描述。</w:t>
      </w:r>
    </w:p>
  </w:comment>
  <w:comment w:id="9" w:author="yanghaoming" w:date="2026-03-17T14:44:48Z" w:initials="y">
    <w:p w14:paraId="256936C2">
      <w:pPr>
        <w:pStyle w:val="5"/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一般情况下，审计结论写到这里就可以了。但如果这家营业部连着几次审计都发现很多问题，且整改不力，或者发现的问题性质比较严重，那就需要再加一句话。示例如下：但历次审计发现的问题较多，且个别问题未得到有效整改，营业部合规与风险管理水平有待进一步加强</w:t>
      </w:r>
      <w:r>
        <w:rPr>
          <w:rFonts w:hint="eastAsia" w:ascii="宋体" w:hAnsi="宋体" w:eastAsia="宋体" w:cs="宋体"/>
          <w:sz w:val="32"/>
          <w:szCs w:val="32"/>
        </w:rPr>
        <w:t>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F2B0B53" w15:done="0"/>
  <w15:commentEx w15:paraId="148620B7" w15:done="0"/>
  <w15:commentEx w15:paraId="42A400AF" w15:done="0"/>
  <w15:commentEx w15:paraId="5B5EC086" w15:done="0"/>
  <w15:commentEx w15:paraId="2B6A11E7" w15:done="0"/>
  <w15:commentEx w15:paraId="4B70D392" w15:done="0"/>
  <w15:commentEx w15:paraId="125434F2" w15:done="0"/>
  <w15:commentEx w15:paraId="235D446C" w15:done="0"/>
  <w15:commentEx w15:paraId="11D22571" w15:done="0"/>
  <w15:commentEx w15:paraId="256936C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6D0F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4E002E">
                          <w:pPr>
                            <w:pStyle w:val="8"/>
                            <w:jc w:val="center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4E002E">
                    <w:pPr>
                      <w:pStyle w:val="8"/>
                      <w:jc w:val="center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EAEB7C"/>
    <w:multiLevelType w:val="singleLevel"/>
    <w:tmpl w:val="D1EAEB7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6680120F"/>
    <w:multiLevelType w:val="multilevel"/>
    <w:tmpl w:val="6680120F"/>
    <w:lvl w:ilvl="0" w:tentative="0">
      <w:start w:val="1"/>
      <w:numFmt w:val="chineseCountingThousand"/>
      <w:pStyle w:val="16"/>
      <w:lvlText w:val="第%1条 "/>
      <w:lvlJc w:val="left"/>
      <w:pPr>
        <w:tabs>
          <w:tab w:val="left" w:pos="8188"/>
        </w:tabs>
        <w:ind w:left="6861" w:firstLine="510"/>
      </w:pPr>
      <w:rPr>
        <w:rFonts w:hint="eastAsia" w:ascii="宋体" w:hAnsi="宋体" w:eastAsia="宋体"/>
        <w:b/>
        <w:i w:val="0"/>
        <w:sz w:val="28"/>
        <w:szCs w:val="28"/>
        <w:lang w:val="en-US"/>
      </w:rPr>
    </w:lvl>
    <w:lvl w:ilvl="1" w:tentative="0">
      <w:start w:val="1"/>
      <w:numFmt w:val="bullet"/>
      <w:lvlText w:val="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b w:val="0"/>
        <w:i w:val="0"/>
        <w:sz w:val="24"/>
        <w:lang w:val="en-U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anghaoming">
    <w15:presenceInfo w15:providerId="None" w15:userId="yanghaoming"/>
  </w15:person>
  <w15:person w15:author="高思文">
    <w15:presenceInfo w15:providerId="None" w15:userId="高思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2ZjFmNzM3YzZiOWI4NjYwMTE3M2U0OTVkZGQ4MjYifQ=="/>
  </w:docVars>
  <w:rsids>
    <w:rsidRoot w:val="00172A27"/>
    <w:rsid w:val="005D30C9"/>
    <w:rsid w:val="0099421C"/>
    <w:rsid w:val="00A60C15"/>
    <w:rsid w:val="00C1221B"/>
    <w:rsid w:val="012B4701"/>
    <w:rsid w:val="02482280"/>
    <w:rsid w:val="025C5A85"/>
    <w:rsid w:val="03A538DA"/>
    <w:rsid w:val="04566D24"/>
    <w:rsid w:val="05647C58"/>
    <w:rsid w:val="06A967F3"/>
    <w:rsid w:val="078F6507"/>
    <w:rsid w:val="08720FDB"/>
    <w:rsid w:val="0882722B"/>
    <w:rsid w:val="08A50B69"/>
    <w:rsid w:val="08E35ACD"/>
    <w:rsid w:val="08EA08EA"/>
    <w:rsid w:val="09C8421F"/>
    <w:rsid w:val="0AEC6126"/>
    <w:rsid w:val="0B472137"/>
    <w:rsid w:val="0BDA015A"/>
    <w:rsid w:val="0C3A2DC0"/>
    <w:rsid w:val="0C437EAC"/>
    <w:rsid w:val="0CA535B9"/>
    <w:rsid w:val="0D382442"/>
    <w:rsid w:val="0DBA1A57"/>
    <w:rsid w:val="0DFE2FD2"/>
    <w:rsid w:val="0E336FEA"/>
    <w:rsid w:val="0EBA1A18"/>
    <w:rsid w:val="0F070A00"/>
    <w:rsid w:val="0F312975"/>
    <w:rsid w:val="0FAF15CA"/>
    <w:rsid w:val="0FDD289F"/>
    <w:rsid w:val="10BF47F6"/>
    <w:rsid w:val="10EC6BFA"/>
    <w:rsid w:val="114E73C9"/>
    <w:rsid w:val="11F0492A"/>
    <w:rsid w:val="12A61DE7"/>
    <w:rsid w:val="13640907"/>
    <w:rsid w:val="145E7D36"/>
    <w:rsid w:val="151E0725"/>
    <w:rsid w:val="15C12A6C"/>
    <w:rsid w:val="15F335E7"/>
    <w:rsid w:val="160968B4"/>
    <w:rsid w:val="16225394"/>
    <w:rsid w:val="16393604"/>
    <w:rsid w:val="16F245C5"/>
    <w:rsid w:val="17302D4B"/>
    <w:rsid w:val="17A05C63"/>
    <w:rsid w:val="185537EF"/>
    <w:rsid w:val="18AC0211"/>
    <w:rsid w:val="18E555A7"/>
    <w:rsid w:val="18F06CEA"/>
    <w:rsid w:val="19172CDE"/>
    <w:rsid w:val="19723C10"/>
    <w:rsid w:val="199E45AD"/>
    <w:rsid w:val="1A4F7538"/>
    <w:rsid w:val="1AF06749"/>
    <w:rsid w:val="1C347647"/>
    <w:rsid w:val="1C3D55BC"/>
    <w:rsid w:val="1D927C56"/>
    <w:rsid w:val="1F8A35EE"/>
    <w:rsid w:val="1FA26D74"/>
    <w:rsid w:val="1FE411CE"/>
    <w:rsid w:val="20DF1E13"/>
    <w:rsid w:val="21436B6C"/>
    <w:rsid w:val="21645786"/>
    <w:rsid w:val="21906814"/>
    <w:rsid w:val="227C7082"/>
    <w:rsid w:val="22CE5E56"/>
    <w:rsid w:val="246F73F4"/>
    <w:rsid w:val="24DA4142"/>
    <w:rsid w:val="25366C0B"/>
    <w:rsid w:val="253774DB"/>
    <w:rsid w:val="272B19D1"/>
    <w:rsid w:val="27E965F8"/>
    <w:rsid w:val="280139DD"/>
    <w:rsid w:val="291200AA"/>
    <w:rsid w:val="2B587D70"/>
    <w:rsid w:val="2BE37F2A"/>
    <w:rsid w:val="2D7A4174"/>
    <w:rsid w:val="2D9F3639"/>
    <w:rsid w:val="2E1456B9"/>
    <w:rsid w:val="2ECF1614"/>
    <w:rsid w:val="2F0F0C7F"/>
    <w:rsid w:val="2F471FD6"/>
    <w:rsid w:val="3011646C"/>
    <w:rsid w:val="3053558D"/>
    <w:rsid w:val="316C70EB"/>
    <w:rsid w:val="31E71F9D"/>
    <w:rsid w:val="32990593"/>
    <w:rsid w:val="3395231A"/>
    <w:rsid w:val="35156330"/>
    <w:rsid w:val="3555038B"/>
    <w:rsid w:val="36584736"/>
    <w:rsid w:val="36DC1946"/>
    <w:rsid w:val="36E03AAF"/>
    <w:rsid w:val="387C06F5"/>
    <w:rsid w:val="38B06AAB"/>
    <w:rsid w:val="3909536C"/>
    <w:rsid w:val="3ADB44C6"/>
    <w:rsid w:val="3B0B10FB"/>
    <w:rsid w:val="3B64446C"/>
    <w:rsid w:val="3B922EDF"/>
    <w:rsid w:val="3BDE6E11"/>
    <w:rsid w:val="3C206BF6"/>
    <w:rsid w:val="3C2C664B"/>
    <w:rsid w:val="3C58786E"/>
    <w:rsid w:val="3C9F5DAF"/>
    <w:rsid w:val="3D7F0A02"/>
    <w:rsid w:val="3DD06866"/>
    <w:rsid w:val="3DFF2029"/>
    <w:rsid w:val="3E5526D7"/>
    <w:rsid w:val="3E5560C0"/>
    <w:rsid w:val="3FE0175A"/>
    <w:rsid w:val="4035657C"/>
    <w:rsid w:val="40444007"/>
    <w:rsid w:val="407D5405"/>
    <w:rsid w:val="41A437A7"/>
    <w:rsid w:val="43051501"/>
    <w:rsid w:val="432F3601"/>
    <w:rsid w:val="443820E2"/>
    <w:rsid w:val="45F1756C"/>
    <w:rsid w:val="46EC74F0"/>
    <w:rsid w:val="47EE0B23"/>
    <w:rsid w:val="47FA4F3F"/>
    <w:rsid w:val="488F09DA"/>
    <w:rsid w:val="48EC30DD"/>
    <w:rsid w:val="49FA1DAD"/>
    <w:rsid w:val="4ABE6C28"/>
    <w:rsid w:val="4AF73C15"/>
    <w:rsid w:val="4B540985"/>
    <w:rsid w:val="4B766891"/>
    <w:rsid w:val="4C311A4F"/>
    <w:rsid w:val="4DB127EB"/>
    <w:rsid w:val="4DC576B3"/>
    <w:rsid w:val="4E0403D5"/>
    <w:rsid w:val="4F270417"/>
    <w:rsid w:val="4F6D6626"/>
    <w:rsid w:val="4F96261F"/>
    <w:rsid w:val="511E2991"/>
    <w:rsid w:val="51FB26EA"/>
    <w:rsid w:val="5344264D"/>
    <w:rsid w:val="535A1856"/>
    <w:rsid w:val="539D75DA"/>
    <w:rsid w:val="53F50AC1"/>
    <w:rsid w:val="53FA42FF"/>
    <w:rsid w:val="54037228"/>
    <w:rsid w:val="54405A63"/>
    <w:rsid w:val="549464C3"/>
    <w:rsid w:val="54AC639A"/>
    <w:rsid w:val="554B6A39"/>
    <w:rsid w:val="569D4648"/>
    <w:rsid w:val="56A10B7F"/>
    <w:rsid w:val="56FB370D"/>
    <w:rsid w:val="57BD21D8"/>
    <w:rsid w:val="589764A5"/>
    <w:rsid w:val="5A626942"/>
    <w:rsid w:val="5B08058F"/>
    <w:rsid w:val="5B27750A"/>
    <w:rsid w:val="5BB54A78"/>
    <w:rsid w:val="5BD23BBE"/>
    <w:rsid w:val="5C6C43F8"/>
    <w:rsid w:val="5CD72550"/>
    <w:rsid w:val="5DAA17CF"/>
    <w:rsid w:val="5EBA6594"/>
    <w:rsid w:val="5FD23A29"/>
    <w:rsid w:val="610511A3"/>
    <w:rsid w:val="6117313E"/>
    <w:rsid w:val="618D4E73"/>
    <w:rsid w:val="61922894"/>
    <w:rsid w:val="61A73945"/>
    <w:rsid w:val="62B43B95"/>
    <w:rsid w:val="62C23730"/>
    <w:rsid w:val="62CA452F"/>
    <w:rsid w:val="630C2596"/>
    <w:rsid w:val="6390559E"/>
    <w:rsid w:val="639663D5"/>
    <w:rsid w:val="643E7A4A"/>
    <w:rsid w:val="6452495C"/>
    <w:rsid w:val="6600786E"/>
    <w:rsid w:val="661B6392"/>
    <w:rsid w:val="66541C3F"/>
    <w:rsid w:val="67ED7FD7"/>
    <w:rsid w:val="68494728"/>
    <w:rsid w:val="696D1F75"/>
    <w:rsid w:val="699773CC"/>
    <w:rsid w:val="69B8584F"/>
    <w:rsid w:val="6AE23084"/>
    <w:rsid w:val="6B9032E0"/>
    <w:rsid w:val="6D5C7C79"/>
    <w:rsid w:val="6ED8481F"/>
    <w:rsid w:val="6EF423D8"/>
    <w:rsid w:val="6F024D57"/>
    <w:rsid w:val="6FCA0714"/>
    <w:rsid w:val="70561627"/>
    <w:rsid w:val="70C12509"/>
    <w:rsid w:val="713314E6"/>
    <w:rsid w:val="7183034D"/>
    <w:rsid w:val="71A44275"/>
    <w:rsid w:val="72B9708B"/>
    <w:rsid w:val="731916E6"/>
    <w:rsid w:val="73CD2352"/>
    <w:rsid w:val="73F43890"/>
    <w:rsid w:val="74455F31"/>
    <w:rsid w:val="74D930F0"/>
    <w:rsid w:val="74D97B8D"/>
    <w:rsid w:val="75E51635"/>
    <w:rsid w:val="76C578B0"/>
    <w:rsid w:val="77311518"/>
    <w:rsid w:val="775969AD"/>
    <w:rsid w:val="77C82A4C"/>
    <w:rsid w:val="78476AE2"/>
    <w:rsid w:val="784C3080"/>
    <w:rsid w:val="79621190"/>
    <w:rsid w:val="79B13066"/>
    <w:rsid w:val="7A1A7592"/>
    <w:rsid w:val="7ADF641C"/>
    <w:rsid w:val="7B760056"/>
    <w:rsid w:val="7D2C62A2"/>
    <w:rsid w:val="7DA527B2"/>
    <w:rsid w:val="7E27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3">
    <w:name w:val="heading 1"/>
    <w:basedOn w:val="1"/>
    <w:next w:val="4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jc w:val="left"/>
      <w:outlineLvl w:val="2"/>
    </w:pPr>
    <w:rPr>
      <w:rFonts w:ascii="楷体" w:hAnsi="楷体" w:eastAsia="楷体" w:cs="楷体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" w:hAnsi="仿宋" w:eastAsia="宋体" w:cs="仿宋"/>
      <w:color w:val="000000"/>
      <w:sz w:val="24"/>
      <w:szCs w:val="24"/>
      <w:lang w:val="en-US" w:eastAsia="zh-CN" w:bidi="ar-SA"/>
    </w:rPr>
  </w:style>
  <w:style w:type="paragraph" w:styleId="5">
    <w:name w:val="annotation text"/>
    <w:basedOn w:val="1"/>
    <w:qFormat/>
    <w:uiPriority w:val="99"/>
    <w:pPr>
      <w:jc w:val="left"/>
    </w:pPr>
  </w:style>
  <w:style w:type="paragraph" w:styleId="6">
    <w:name w:val="Body Text"/>
    <w:basedOn w:val="1"/>
    <w:qFormat/>
    <w:uiPriority w:val="0"/>
    <w:pPr>
      <w:jc w:val="left"/>
    </w:pPr>
    <w:rPr>
      <w:rFonts w:ascii="宋体"/>
      <w:kern w:val="0"/>
      <w:sz w:val="18"/>
    </w:rPr>
  </w:style>
  <w:style w:type="paragraph" w:styleId="7">
    <w:name w:val="Body Text Indent"/>
    <w:basedOn w:val="1"/>
    <w:qFormat/>
    <w:uiPriority w:val="0"/>
    <w:pPr>
      <w:ind w:left="360" w:firstLine="360"/>
    </w:pPr>
    <w:rPr>
      <w:rFonts w:ascii="楷体_GB2312" w:eastAsia="楷体_GB2312"/>
      <w:sz w:val="28"/>
    </w:rPr>
  </w:style>
  <w:style w:type="paragraph" w:styleId="8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itle"/>
    <w:basedOn w:val="1"/>
    <w:next w:val="1"/>
    <w:qFormat/>
    <w:uiPriority w:val="0"/>
    <w:pPr>
      <w:spacing w:line="360" w:lineRule="auto"/>
      <w:jc w:val="center"/>
      <w:outlineLvl w:val="0"/>
    </w:pPr>
    <w:rPr>
      <w:rFonts w:ascii="黑体" w:hAnsi="等线 Light" w:eastAsia="黑体" w:cs="Times New Roman"/>
      <w:bCs/>
      <w:sz w:val="36"/>
      <w:szCs w:val="32"/>
    </w:rPr>
  </w:style>
  <w:style w:type="character" w:styleId="13">
    <w:name w:val="annotation reference"/>
    <w:qFormat/>
    <w:uiPriority w:val="99"/>
    <w:rPr>
      <w:sz w:val="21"/>
      <w:szCs w:val="21"/>
    </w:rPr>
  </w:style>
  <w:style w:type="character" w:customStyle="1" w:styleId="14">
    <w:name w:val="font11"/>
    <w:basedOn w:val="12"/>
    <w:qFormat/>
    <w:uiPriority w:val="0"/>
    <w:rPr>
      <w:rFonts w:hint="eastAsia" w:ascii="仿宋" w:hAnsi="仿宋" w:eastAsia="仿宋" w:cs="仿宋"/>
      <w:b/>
      <w:bCs/>
      <w:color w:val="000000"/>
      <w:sz w:val="20"/>
      <w:szCs w:val="20"/>
      <w:u w:val="none"/>
    </w:rPr>
  </w:style>
  <w:style w:type="character" w:customStyle="1" w:styleId="15">
    <w:name w:val="font21"/>
    <w:basedOn w:val="12"/>
    <w:qFormat/>
    <w:uiPriority w:val="0"/>
    <w:rPr>
      <w:rFonts w:hint="eastAsia" w:ascii="仿宋" w:hAnsi="仿宋" w:eastAsia="仿宋" w:cs="仿宋"/>
      <w:b/>
      <w:bCs/>
      <w:color w:val="000000"/>
      <w:sz w:val="20"/>
      <w:szCs w:val="20"/>
      <w:u w:val="none"/>
    </w:rPr>
  </w:style>
  <w:style w:type="paragraph" w:customStyle="1" w:styleId="16">
    <w:name w:val="样式 条样式 +"/>
    <w:basedOn w:val="1"/>
    <w:qFormat/>
    <w:uiPriority w:val="0"/>
    <w:pPr>
      <w:numPr>
        <w:ilvl w:val="0"/>
        <w:numId w:val="1"/>
      </w:numPr>
      <w:tabs>
        <w:tab w:val="left" w:pos="1327"/>
        <w:tab w:val="clear" w:pos="8188"/>
      </w:tabs>
      <w:spacing w:line="360" w:lineRule="auto"/>
      <w:ind w:left="0"/>
    </w:pPr>
    <w:rPr>
      <w:rFonts w:ascii="仿宋_GB2312" w:hAnsi="宋体" w:eastAsia="仿宋_GB2312" w:cs="宋体"/>
      <w:color w:val="00000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2356</Words>
  <Characters>2724</Characters>
  <Lines>1</Lines>
  <Paragraphs>1</Paragraphs>
  <TotalTime>1</TotalTime>
  <ScaleCrop>false</ScaleCrop>
  <LinksUpToDate>false</LinksUpToDate>
  <CharactersWithSpaces>2961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2023-02-22T08:22:00Z</dcterms:created>
  <dc:creator>gaosiwen</dc:creator>
  <cp:lastModifiedBy>高思文</cp:lastModifiedBy>
  <dcterms:modified xsi:type="dcterms:W3CDTF">2026-06-02T01:19:32Z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F54BDC8094474C28AB7FB9BA8A98D0B8</vt:lpwstr>
  </property>
  <property fmtid="{D5CDD505-2E9C-101B-9397-08002B2CF9AE}" pid="4" name="KSOTemplateDocerSaveRecord">
    <vt:lpwstr>eyJoZGlkIjoiYjhkYjI0NzE1YjU3N2UxY2E0MWI2OTAxNDJlNWNmYzUiLCJ1c2VySWQiOiIzMjE0ODg3MTEifQ==</vt:lpwstr>
  </property>
</Properties>
</file>