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estpilot-ai"/>
    <w:p>
      <w:pPr>
        <w:pStyle w:val="Heading1"/>
      </w:pPr>
      <w:r>
        <w:t xml:space="preserve">TestPilot AI</w:t>
      </w:r>
    </w:p>
    <w:p>
      <w:pPr>
        <w:pStyle w:val="FirstParagraph"/>
      </w:pPr>
      <w:r>
        <w:rPr>
          <w:bCs/>
          <w:b/>
        </w:rPr>
        <w:t xml:space="preserve">An AI-powered platform that tests any web app from just a public URL. It chooses the right tests and generates safe synthetic data automatically.</w:t>
      </w:r>
    </w:p>
    <w:p>
      <w:pPr>
        <w:numPr>
          <w:ilvl w:val="0"/>
          <w:numId w:val="1001"/>
        </w:numPr>
        <w:pStyle w:val="Compact"/>
      </w:pPr>
      <w:r>
        <w:t xml:space="preserve">Live demo: https://testpilot-ai-8136.ai.studio</w:t>
      </w:r>
    </w:p>
    <w:p>
      <w:pPr>
        <w:numPr>
          <w:ilvl w:val="0"/>
          <w:numId w:val="1001"/>
        </w:numPr>
        <w:pStyle w:val="Compact"/>
      </w:pPr>
      <w:r>
        <w:t xml:space="preserve">Source code: https://github.com/258x5a4201-max/TestPilot-AI</w:t>
      </w:r>
    </w:p>
    <w:p>
      <w:pPr>
        <w:numPr>
          <w:ilvl w:val="0"/>
          <w:numId w:val="1001"/>
        </w:numPr>
        <w:pStyle w:val="Compact"/>
      </w:pPr>
      <w:r>
        <w:t xml:space="preserve">Built with: Google AI Studio, Gemini API, React, TypeScript</w:t>
      </w:r>
    </w:p>
    <w:p>
      <w:r>
        <w:pict>
          <v:rect style="width:0;height:1.5pt" o:hralign="center" o:hrstd="t" o:hr="t"/>
        </w:pict>
      </w:r>
    </w:p>
    <w:bookmarkStart w:id="20" w:name="the-problem"/>
    <w:p>
      <w:pPr>
        <w:pStyle w:val="Heading2"/>
      </w:pPr>
      <w:r>
        <w:t xml:space="preserve">1. The problem</w:t>
      </w:r>
    </w:p>
    <w:p>
      <w:pPr>
        <w:pStyle w:val="FirstParagraph"/>
      </w:pPr>
      <w:r>
        <w:t xml:space="preserve">Good software testing needs many specialists and many tools: one for functional tests, one for APIs, one for load, one for security, one for accessibility. Small teams and startups cannot afford this. Writing test scripts by hand is slow and fragile, and most bugs hide in unusual inputs that people forget to try.</w:t>
      </w:r>
    </w:p>
    <w:bookmarkEnd w:id="20"/>
    <w:bookmarkStart w:id="22" w:name="our-solution"/>
    <w:p>
      <w:pPr>
        <w:pStyle w:val="Heading2"/>
      </w:pPr>
      <w:r>
        <w:t xml:space="preserve">2. Our solution</w:t>
      </w:r>
    </w:p>
    <w:p>
      <w:pPr>
        <w:pStyle w:val="FirstParagraph"/>
      </w:pPr>
      <w:r>
        <w:t xml:space="preserve">TestPilot AI combines these into one application that needs only a URL. The AI explores the app, maps it, decides which kinds of testing fit, generates privacy-safe test data, runs the tests, and reports what is broken and how to fix it.</w:t>
      </w:r>
    </w:p>
    <w:bookmarkStart w:id="21" w:name="how-it-works-6-steps"/>
    <w:p>
      <w:pPr>
        <w:pStyle w:val="Heading3"/>
      </w:pPr>
      <w:r>
        <w:t xml:space="preserve">How it works (6 steps)</w:t>
      </w:r>
    </w:p>
    <w:tbl>
      <w:tblPr>
        <w:tblStyle w:val="Table"/>
        <w:tblW w:type="pct" w:w="5000"/>
        <w:tblLayout w:type="fixed"/>
        <w:tblLook w:firstRow="1" w:lastRow="0" w:firstColumn="0" w:lastColumn="0" w:noHBand="0" w:noVBand="0" w:val="0020"/>
        <w:jc w:val="start"/>
        <w:tblBorders>
          <w:top w:val="single" w:sz="4" w:color="BFC4D6"/>
          <w:left w:val="single" w:sz="4" w:color="BFC4D6"/>
          <w:bottom w:val="single" w:sz="4" w:color="BFC4D6"/>
          <w:right w:val="single" w:sz="4" w:color="BFC4D6"/>
          <w:insideH w:val="single" w:sz="4" w:color="BFC4D6"/>
          <w:insideV w:val="single" w:sz="4" w:color="BFC4D6"/>
        </w:tblBorders>
        <w:tblLayout w:type="fixed"/>
      </w:tblPr>
      <w:tblGrid>
        <w:gridCol w:w="2304"/>
        <w:gridCol w:w="7056"/>
      </w:tblGrid>
      <w:tr>
        <w:trPr>
          <w:tblHeader w:val="true"/>
        </w:trPr>
        <w:tc>
          <w:tcPr>
            <w:tcW w:type="dxa" w:w="2304"/>
            <w:shd w:val="clear" w:color="auto" w:fill="1E1B4B"/>
          </w:tcPr>
          <w:p>
            <w:pPr>
              <w:pStyle w:val="Compact"/>
              <w:spacing w:after="40"/>
              <w:jc w:val="left"/>
            </w:pPr>
            <w:r>
              <w:rPr>
                <w:b/>
                <w:color w:val="FFFFFF"/>
                <w:sz w:val="20"/>
              </w:rPr>
              <w:t xml:space="preserve">Step</w:t>
            </w:r>
          </w:p>
        </w:tc>
        <w:tc>
          <w:tcPr>
            <w:tcW w:type="dxa" w:w="7056"/>
            <w:shd w:val="clear" w:color="auto" w:fill="1E1B4B"/>
          </w:tcPr>
          <w:p>
            <w:pPr>
              <w:pStyle w:val="Compact"/>
              <w:spacing w:after="40"/>
              <w:jc w:val="left"/>
            </w:pPr>
            <w:r>
              <w:rPr>
                <w:b/>
                <w:color w:val="FFFFFF"/>
                <w:sz w:val="20"/>
              </w:rPr>
              <w:t xml:space="preserve">What happens</w:t>
            </w:r>
          </w:p>
        </w:tc>
      </w:tr>
      <w:tr>
        <w:tc>
          <w:tcPr>
            <w:tcW w:type="dxa" w:w="2304"/>
          </w:tcPr>
          <w:p>
            <w:pPr>
              <w:pStyle w:val="Compact"/>
              <w:spacing w:after="40"/>
              <w:jc w:val="left"/>
            </w:pPr>
            <w:r>
              <w:rPr>
                <w:sz w:val="20"/>
              </w:rPr>
              <w:t xml:space="preserve">1. Submit Target</w:t>
            </w:r>
          </w:p>
        </w:tc>
        <w:tc>
          <w:tcPr>
            <w:tcW w:type="dxa" w:w="7056"/>
          </w:tcPr>
          <w:p>
            <w:pPr>
              <w:pStyle w:val="Compact"/>
              <w:spacing w:after="40"/>
              <w:jc w:val="left"/>
            </w:pPr>
            <w:r>
              <w:rPr>
                <w:sz w:val="20"/>
              </w:rPr>
              <w:t xml:space="preserve">The user enters the app’s public URL, with optional test login, OpenAPI/Swagger URL and test depth.</w:t>
            </w:r>
          </w:p>
        </w:tc>
      </w:tr>
      <w:tr>
        <w:tc>
          <w:tcPr>
            <w:tcW w:type="dxa" w:w="2304"/>
          </w:tcPr>
          <w:p>
            <w:pPr>
              <w:pStyle w:val="Compact"/>
              <w:spacing w:after="40"/>
              <w:jc w:val="left"/>
            </w:pPr>
            <w:r>
              <w:rPr>
                <w:sz w:val="20"/>
              </w:rPr>
              <w:t xml:space="preserve">2. Verify Ownership</w:t>
            </w:r>
          </w:p>
        </w:tc>
        <w:tc>
          <w:tcPr>
            <w:tcW w:type="dxa" w:w="7056"/>
          </w:tcPr>
          <w:p>
            <w:pPr>
              <w:pStyle w:val="Compact"/>
              <w:spacing w:after="40"/>
              <w:jc w:val="left"/>
            </w:pPr>
            <w:r>
              <w:rPr>
                <w:sz w:val="20"/>
              </w:rPr>
              <w:t xml:space="preserve">The user proves they own the site (DNS TXT record or a file at</w:t>
            </w:r>
            <w:r>
              <w:rPr>
                <w:sz w:val="20"/>
              </w:rPr>
              <w:t xml:space="preserve"> </w:t>
            </w:r>
            <w:r>
              <w:rPr>
                <w:rStyle w:val="VerbatimChar"/>
                <w:sz w:val="20"/>
              </w:rPr>
              <w:t xml:space="preserve">/.well-known/</w:t>
            </w:r>
            <w:r>
              <w:rPr>
                <w:sz w:val="20"/>
              </w:rPr>
              <w:t xml:space="preserve">). This unlocks risky tests (rate limiting, security). Safe, read-only tests need no verification.</w:t>
            </w:r>
          </w:p>
        </w:tc>
      </w:tr>
      <w:tr>
        <w:tc>
          <w:tcPr>
            <w:tcW w:type="dxa" w:w="2304"/>
          </w:tcPr>
          <w:p>
            <w:pPr>
              <w:pStyle w:val="Compact"/>
              <w:spacing w:after="40"/>
              <w:jc w:val="left"/>
            </w:pPr>
            <w:r>
              <w:rPr>
                <w:sz w:val="20"/>
              </w:rPr>
              <w:t xml:space="preserve">3. AI Discovery</w:t>
            </w:r>
          </w:p>
        </w:tc>
        <w:tc>
          <w:tcPr>
            <w:tcW w:type="dxa" w:w="7056"/>
          </w:tcPr>
          <w:p>
            <w:pPr>
              <w:pStyle w:val="Compact"/>
              <w:spacing w:after="40"/>
              <w:jc w:val="left"/>
            </w:pPr>
            <w:r>
              <w:rPr>
                <w:sz w:val="20"/>
              </w:rPr>
              <w:t xml:space="preserve">The platform explores the app and builds an interactive</w:t>
            </w:r>
            <w:r>
              <w:rPr>
                <w:sz w:val="20"/>
              </w:rPr>
              <w:t xml:space="preserve"> </w:t>
            </w:r>
            <w:r>
              <w:rPr>
                <w:bCs/>
                <w:b/>
                <w:sz w:val="20"/>
              </w:rPr>
              <w:t xml:space="preserve">App Map</w:t>
            </w:r>
            <w:r>
              <w:rPr>
                <w:sz w:val="20"/>
              </w:rPr>
              <w:t xml:space="preserve"> </w:t>
            </w:r>
            <w:r>
              <w:rPr>
                <w:sz w:val="20"/>
              </w:rPr>
              <w:t xml:space="preserve">of pages, forms, inputs, APIs and auth flows, each with a risk score.</w:t>
            </w:r>
          </w:p>
        </w:tc>
      </w:tr>
      <w:tr>
        <w:tc>
          <w:tcPr>
            <w:tcW w:type="dxa" w:w="2304"/>
          </w:tcPr>
          <w:p>
            <w:pPr>
              <w:pStyle w:val="Compact"/>
              <w:spacing w:after="40"/>
              <w:jc w:val="left"/>
            </w:pPr>
            <w:r>
              <w:rPr>
                <w:sz w:val="20"/>
              </w:rPr>
              <w:t xml:space="preserve">4. Test Strategy</w:t>
            </w:r>
          </w:p>
        </w:tc>
        <w:tc>
          <w:tcPr>
            <w:tcW w:type="dxa" w:w="7056"/>
          </w:tcPr>
          <w:p>
            <w:pPr>
              <w:pStyle w:val="Compact"/>
              <w:spacing w:after="40"/>
              <w:jc w:val="left"/>
            </w:pPr>
            <w:r>
              <w:rPr>
                <w:sz w:val="20"/>
              </w:rPr>
              <w:t xml:space="preserve">Gemini selects the suitable testing types for each part of the app and explains why. The user sees a Selected vs Skipped table.</w:t>
            </w:r>
          </w:p>
        </w:tc>
      </w:tr>
      <w:tr>
        <w:tc>
          <w:tcPr>
            <w:tcW w:type="dxa" w:w="2304"/>
          </w:tcPr>
          <w:p>
            <w:pPr>
              <w:pStyle w:val="Compact"/>
              <w:spacing w:after="40"/>
              <w:jc w:val="left"/>
            </w:pPr>
            <w:r>
              <w:rPr>
                <w:sz w:val="20"/>
              </w:rPr>
              <w:t xml:space="preserve">5. Synthetic Data</w:t>
            </w:r>
          </w:p>
        </w:tc>
        <w:tc>
          <w:tcPr>
            <w:tcW w:type="dxa" w:w="7056"/>
          </w:tcPr>
          <w:p>
            <w:pPr>
              <w:pStyle w:val="Compact"/>
              <w:spacing w:after="40"/>
              <w:jc w:val="left"/>
            </w:pPr>
            <w:r>
              <w:rPr>
                <w:sz w:val="20"/>
              </w:rPr>
              <w:t xml:space="preserve">The AI generates safe fake data for every field (valid, boundary, malicious, unicode) and writes Given/When/Then test cases and Playwright scripts.</w:t>
            </w:r>
          </w:p>
        </w:tc>
      </w:tr>
      <w:tr>
        <w:tc>
          <w:tcPr>
            <w:tcW w:type="dxa" w:w="2304"/>
          </w:tcPr>
          <w:p>
            <w:pPr>
              <w:pStyle w:val="Compact"/>
              <w:spacing w:after="40"/>
              <w:jc w:val="left"/>
            </w:pPr>
            <w:r>
              <w:rPr>
                <w:sz w:val="20"/>
              </w:rPr>
              <w:t xml:space="preserve">6. Execution and Reports</w:t>
            </w:r>
          </w:p>
        </w:tc>
        <w:tc>
          <w:tcPr>
            <w:tcW w:type="dxa" w:w="7056"/>
          </w:tcPr>
          <w:p>
            <w:pPr>
              <w:pStyle w:val="Compact"/>
              <w:spacing w:after="40"/>
              <w:jc w:val="left"/>
            </w:pPr>
            <w:r>
              <w:rPr>
                <w:sz w:val="20"/>
              </w:rPr>
              <w:t xml:space="preserve">Tests run with live progress. The report shows a health score, severity ranking, screenshots, reproduction steps and AI fixes.</w:t>
            </w:r>
          </w:p>
        </w:tc>
      </w:tr>
    </w:tbl>
    <w:bookmarkEnd w:id="21"/>
    <w:bookmarkEnd w:id="22"/>
    <w:bookmarkStart w:id="26" w:name="feature-list"/>
    <w:p>
      <w:pPr>
        <w:pStyle w:val="Heading2"/>
      </w:pPr>
      <w:r>
        <w:t xml:space="preserve">3. Feature list</w:t>
      </w:r>
    </w:p>
    <w:p>
      <w:pPr>
        <w:pStyle w:val="FirstParagraph"/>
      </w:pPr>
      <w:r>
        <w:t xml:space="preserve">Status key:</w:t>
      </w:r>
      <w:r>
        <w:t xml:space="preserve"> </w:t>
      </w:r>
      <w:r>
        <w:rPr>
          <w:bCs/>
          <w:b/>
        </w:rPr>
        <w:t xml:space="preserve">Built</w:t>
      </w:r>
      <w:r>
        <w:t xml:space="preserve"> </w:t>
      </w:r>
      <w:r>
        <w:t xml:space="preserve">= working in the app.</w:t>
      </w:r>
      <w:r>
        <w:t xml:space="preserve"> </w:t>
      </w:r>
      <w:r>
        <w:rPr>
          <w:bCs/>
          <w:b/>
        </w:rPr>
        <w:t xml:space="preserve">Demo mode</w:t>
      </w:r>
      <w:r>
        <w:t xml:space="preserve"> </w:t>
      </w:r>
      <w:r>
        <w:t xml:space="preserve">= works on sample data.</w:t>
      </w:r>
      <w:r>
        <w:t xml:space="preserve"> </w:t>
      </w:r>
      <w:r>
        <w:rPr>
          <w:bCs/>
          <w:b/>
        </w:rPr>
        <w:t xml:space="preserve">Roadmap</w:t>
      </w:r>
      <w:r>
        <w:t xml:space="preserve"> </w:t>
      </w:r>
      <w:r>
        <w:t xml:space="preserve">= planned.</w:t>
      </w:r>
    </w:p>
    <w:bookmarkStart w:id="23" w:name="core-platform"/>
    <w:p>
      <w:pPr>
        <w:pStyle w:val="Heading3"/>
      </w:pPr>
      <w:r>
        <w:t xml:space="preserve">Core platform</w:t>
      </w:r>
    </w:p>
    <w:tbl>
      <w:tblPr>
        <w:tblStyle w:val="Table"/>
        <w:tblW w:type="pct" w:w="5000"/>
        <w:tblLayout w:type="fixed"/>
        <w:tblLook w:firstRow="1" w:lastRow="0" w:firstColumn="0" w:lastColumn="0" w:noHBand="0" w:noVBand="0" w:val="0020"/>
        <w:jc w:val="start"/>
        <w:tblBorders>
          <w:top w:val="single" w:sz="4" w:color="BFC4D6"/>
          <w:left w:val="single" w:sz="4" w:color="BFC4D6"/>
          <w:bottom w:val="single" w:sz="4" w:color="BFC4D6"/>
          <w:right w:val="single" w:sz="4" w:color="BFC4D6"/>
          <w:insideH w:val="single" w:sz="4" w:color="BFC4D6"/>
          <w:insideV w:val="single" w:sz="4" w:color="BFC4D6"/>
        </w:tblBorders>
        <w:tblLayout w:type="fixed"/>
      </w:tblPr>
      <w:tblGrid>
        <w:gridCol w:w="7200"/>
        <w:gridCol w:w="2160"/>
      </w:tblGrid>
      <w:tr>
        <w:trPr>
          <w:tblHeader w:val="true"/>
        </w:trPr>
        <w:tc>
          <w:tcPr>
            <w:tcW w:type="dxa" w:w="7200"/>
            <w:shd w:val="clear" w:color="auto" w:fill="1E1B4B"/>
          </w:tcPr>
          <w:p>
            <w:pPr>
              <w:pStyle w:val="Compact"/>
              <w:spacing w:after="40"/>
              <w:jc w:val="left"/>
            </w:pPr>
            <w:r>
              <w:rPr>
                <w:b/>
                <w:color w:val="FFFFFF"/>
                <w:sz w:val="20"/>
              </w:rPr>
              <w:t xml:space="preserve">Feature</w:t>
            </w:r>
          </w:p>
        </w:tc>
        <w:tc>
          <w:tcPr>
            <w:tcW w:type="dxa" w:w="2160"/>
            <w:shd w:val="clear" w:color="auto" w:fill="1E1B4B"/>
          </w:tcPr>
          <w:p>
            <w:pPr>
              <w:pStyle w:val="Compact"/>
              <w:spacing w:after="40"/>
              <w:jc w:val="left"/>
            </w:pPr>
            <w:r>
              <w:rPr>
                <w:b/>
                <w:color w:val="FFFFFF"/>
                <w:sz w:val="20"/>
              </w:rPr>
              <w:t xml:space="preserve">Status</w:t>
            </w:r>
          </w:p>
        </w:tc>
      </w:tr>
      <w:tr>
        <w:tc>
          <w:tcPr>
            <w:tcW w:type="dxa" w:w="7200"/>
          </w:tcPr>
          <w:p>
            <w:pPr>
              <w:pStyle w:val="Compact"/>
              <w:spacing w:after="40"/>
              <w:jc w:val="left"/>
            </w:pPr>
            <w:r>
              <w:rPr>
                <w:sz w:val="20"/>
              </w:rPr>
              <w:t xml:space="preserve">6-step guided wizard (submit, verify, discover, strategy, data, report)</w:t>
            </w:r>
          </w:p>
        </w:tc>
        <w:tc>
          <w:tcPr>
            <w:tcW w:type="dxa" w:w="2160"/>
          </w:tcPr>
          <w:p>
            <w:pPr>
              <w:pStyle w:val="Compact"/>
              <w:spacing w:after="40"/>
              <w:jc w:val="left"/>
            </w:pPr>
            <w:r>
              <w:rPr>
                <w:sz w:val="20"/>
              </w:rPr>
              <w:t xml:space="preserve">Built</w:t>
            </w:r>
          </w:p>
        </w:tc>
      </w:tr>
      <w:tr>
        <w:tc>
          <w:tcPr>
            <w:tcW w:type="dxa" w:w="7200"/>
          </w:tcPr>
          <w:p>
            <w:pPr>
              <w:pStyle w:val="Compact"/>
              <w:spacing w:after="40"/>
              <w:jc w:val="left"/>
            </w:pPr>
            <w:r>
              <w:rPr>
                <w:sz w:val="20"/>
              </w:rPr>
              <w:t xml:space="preserve">Interactive App Map with risk scores (page, form, input, API, auth)</w:t>
            </w:r>
          </w:p>
        </w:tc>
        <w:tc>
          <w:tcPr>
            <w:tcW w:type="dxa" w:w="2160"/>
          </w:tcPr>
          <w:p>
            <w:pPr>
              <w:pStyle w:val="Compact"/>
              <w:spacing w:after="40"/>
              <w:jc w:val="left"/>
            </w:pPr>
            <w:r>
              <w:rPr>
                <w:sz w:val="20"/>
              </w:rPr>
              <w:t xml:space="preserve">Built</w:t>
            </w:r>
          </w:p>
        </w:tc>
      </w:tr>
      <w:tr>
        <w:tc>
          <w:tcPr>
            <w:tcW w:type="dxa" w:w="7200"/>
          </w:tcPr>
          <w:p>
            <w:pPr>
              <w:pStyle w:val="Compact"/>
              <w:spacing w:after="40"/>
              <w:jc w:val="left"/>
            </w:pPr>
            <w:r>
              <w:rPr>
                <w:sz w:val="20"/>
              </w:rPr>
              <w:t xml:space="preserve">AI test strategy selection with reasoning</w:t>
            </w:r>
          </w:p>
        </w:tc>
        <w:tc>
          <w:tcPr>
            <w:tcW w:type="dxa" w:w="2160"/>
          </w:tcPr>
          <w:p>
            <w:pPr>
              <w:pStyle w:val="Compact"/>
              <w:spacing w:after="40"/>
              <w:jc w:val="left"/>
            </w:pPr>
            <w:r>
              <w:rPr>
                <w:sz w:val="20"/>
              </w:rPr>
              <w:t xml:space="preserve">Built</w:t>
            </w:r>
          </w:p>
        </w:tc>
      </w:tr>
      <w:tr>
        <w:tc>
          <w:tcPr>
            <w:tcW w:type="dxa" w:w="7200"/>
          </w:tcPr>
          <w:p>
            <w:pPr>
              <w:pStyle w:val="Compact"/>
              <w:spacing w:after="40"/>
              <w:jc w:val="left"/>
            </w:pPr>
            <w:r>
              <w:rPr>
                <w:sz w:val="20"/>
              </w:rPr>
              <w:t xml:space="preserve">Synthetic data generator per field (valid, boundary, malicious, unicode)</w:t>
            </w:r>
          </w:p>
        </w:tc>
        <w:tc>
          <w:tcPr>
            <w:tcW w:type="dxa" w:w="2160"/>
          </w:tcPr>
          <w:p>
            <w:pPr>
              <w:pStyle w:val="Compact"/>
              <w:spacing w:after="40"/>
              <w:jc w:val="left"/>
            </w:pPr>
            <w:r>
              <w:rPr>
                <w:sz w:val="20"/>
              </w:rPr>
              <w:t xml:space="preserve">Built</w:t>
            </w:r>
          </w:p>
        </w:tc>
      </w:tr>
      <w:tr>
        <w:tc>
          <w:tcPr>
            <w:tcW w:type="dxa" w:w="7200"/>
          </w:tcPr>
          <w:p>
            <w:pPr>
              <w:pStyle w:val="Compact"/>
              <w:spacing w:after="40"/>
              <w:jc w:val="left"/>
            </w:pPr>
            <w:r>
              <w:rPr>
                <w:sz w:val="20"/>
              </w:rPr>
              <w:t xml:space="preserve">Given/When/Then test cases and Playwright test suites</w:t>
            </w:r>
          </w:p>
        </w:tc>
        <w:tc>
          <w:tcPr>
            <w:tcW w:type="dxa" w:w="2160"/>
          </w:tcPr>
          <w:p>
            <w:pPr>
              <w:pStyle w:val="Compact"/>
              <w:spacing w:after="40"/>
              <w:jc w:val="left"/>
            </w:pPr>
            <w:r>
              <w:rPr>
                <w:sz w:val="20"/>
              </w:rPr>
              <w:t xml:space="preserve">Built</w:t>
            </w:r>
          </w:p>
        </w:tc>
      </w:tr>
      <w:tr>
        <w:tc>
          <w:tcPr>
            <w:tcW w:type="dxa" w:w="7200"/>
          </w:tcPr>
          <w:p>
            <w:pPr>
              <w:pStyle w:val="Compact"/>
              <w:spacing w:after="40"/>
              <w:jc w:val="left"/>
            </w:pPr>
            <w:r>
              <w:rPr>
                <w:sz w:val="20"/>
              </w:rPr>
              <w:t xml:space="preserve">100% PII-free test data guarantee</w:t>
            </w:r>
          </w:p>
        </w:tc>
        <w:tc>
          <w:tcPr>
            <w:tcW w:type="dxa" w:w="2160"/>
          </w:tcPr>
          <w:p>
            <w:pPr>
              <w:pStyle w:val="Compact"/>
              <w:spacing w:after="40"/>
              <w:jc w:val="left"/>
            </w:pPr>
            <w:r>
              <w:rPr>
                <w:sz w:val="20"/>
              </w:rPr>
              <w:t xml:space="preserve">Built</w:t>
            </w:r>
          </w:p>
        </w:tc>
      </w:tr>
      <w:tr>
        <w:tc>
          <w:tcPr>
            <w:tcW w:type="dxa" w:w="7200"/>
          </w:tcPr>
          <w:p>
            <w:pPr>
              <w:pStyle w:val="Compact"/>
              <w:spacing w:after="40"/>
              <w:jc w:val="left"/>
            </w:pPr>
            <w:r>
              <w:rPr>
                <w:sz w:val="20"/>
              </w:rPr>
              <w:t xml:space="preserve">Role-based access: Admin, Tester, Viewer</w:t>
            </w:r>
          </w:p>
        </w:tc>
        <w:tc>
          <w:tcPr>
            <w:tcW w:type="dxa" w:w="2160"/>
          </w:tcPr>
          <w:p>
            <w:pPr>
              <w:pStyle w:val="Compact"/>
              <w:spacing w:after="40"/>
              <w:jc w:val="left"/>
            </w:pPr>
            <w:r>
              <w:rPr>
                <w:sz w:val="20"/>
              </w:rPr>
              <w:t xml:space="preserve">Built</w:t>
            </w:r>
          </w:p>
        </w:tc>
      </w:tr>
      <w:tr>
        <w:tc>
          <w:tcPr>
            <w:tcW w:type="dxa" w:w="7200"/>
          </w:tcPr>
          <w:p>
            <w:pPr>
              <w:pStyle w:val="Compact"/>
              <w:spacing w:after="40"/>
              <w:jc w:val="left"/>
            </w:pPr>
            <w:r>
              <w:rPr>
                <w:sz w:val="20"/>
              </w:rPr>
              <w:t xml:space="preserve">Slack webhook alerts (with test ping)</w:t>
            </w:r>
          </w:p>
        </w:tc>
        <w:tc>
          <w:tcPr>
            <w:tcW w:type="dxa" w:w="2160"/>
          </w:tcPr>
          <w:p>
            <w:pPr>
              <w:pStyle w:val="Compact"/>
              <w:spacing w:after="40"/>
              <w:jc w:val="left"/>
            </w:pPr>
            <w:r>
              <w:rPr>
                <w:sz w:val="20"/>
              </w:rPr>
              <w:t xml:space="preserve">Built</w:t>
            </w:r>
          </w:p>
        </w:tc>
      </w:tr>
      <w:tr>
        <w:tc>
          <w:tcPr>
            <w:tcW w:type="dxa" w:w="7200"/>
          </w:tcPr>
          <w:p>
            <w:pPr>
              <w:pStyle w:val="Compact"/>
              <w:spacing w:after="40"/>
              <w:jc w:val="left"/>
            </w:pPr>
            <w:r>
              <w:rPr>
                <w:sz w:val="20"/>
              </w:rPr>
              <w:t xml:space="preserve">Comparison page vs Qodo, Playwright, Postman, k6/JMeter, OWASP ZAP, Applitools</w:t>
            </w:r>
          </w:p>
        </w:tc>
        <w:tc>
          <w:tcPr>
            <w:tcW w:type="dxa" w:w="2160"/>
          </w:tcPr>
          <w:p>
            <w:pPr>
              <w:pStyle w:val="Compact"/>
              <w:spacing w:after="40"/>
              <w:jc w:val="left"/>
            </w:pPr>
            <w:r>
              <w:rPr>
                <w:sz w:val="20"/>
              </w:rPr>
              <w:t xml:space="preserve">Built</w:t>
            </w:r>
          </w:p>
        </w:tc>
      </w:tr>
    </w:tbl>
    <w:bookmarkEnd w:id="23"/>
    <w:bookmarkStart w:id="24" w:name="testing-coverage"/>
    <w:p>
      <w:pPr>
        <w:pStyle w:val="Heading3"/>
      </w:pPr>
      <w:r>
        <w:t xml:space="preserve">Testing coverage</w:t>
      </w:r>
    </w:p>
    <w:tbl>
      <w:tblPr>
        <w:tblStyle w:val="Table"/>
        <w:tblW w:type="pct" w:w="5000"/>
        <w:tblLayout w:type="fixed"/>
        <w:tblLook w:firstRow="1" w:lastRow="0" w:firstColumn="0" w:lastColumn="0" w:noHBand="0" w:noVBand="0" w:val="0020"/>
        <w:jc w:val="start"/>
        <w:tblBorders>
          <w:top w:val="single" w:sz="4" w:color="BFC4D6"/>
          <w:left w:val="single" w:sz="4" w:color="BFC4D6"/>
          <w:bottom w:val="single" w:sz="4" w:color="BFC4D6"/>
          <w:right w:val="single" w:sz="4" w:color="BFC4D6"/>
          <w:insideH w:val="single" w:sz="4" w:color="BFC4D6"/>
          <w:insideV w:val="single" w:sz="4" w:color="BFC4D6"/>
        </w:tblBorders>
        <w:tblLayout w:type="fixed"/>
      </w:tblPr>
      <w:tblGrid>
        <w:gridCol w:w="7200"/>
        <w:gridCol w:w="2160"/>
      </w:tblGrid>
      <w:tr>
        <w:trPr>
          <w:tblHeader w:val="true"/>
        </w:trPr>
        <w:tc>
          <w:tcPr>
            <w:tcW w:type="dxa" w:w="7200"/>
            <w:shd w:val="clear" w:color="auto" w:fill="1E1B4B"/>
          </w:tcPr>
          <w:p>
            <w:pPr>
              <w:pStyle w:val="Compact"/>
              <w:spacing w:after="40"/>
              <w:jc w:val="left"/>
            </w:pPr>
            <w:r>
              <w:rPr>
                <w:b/>
                <w:color w:val="FFFFFF"/>
                <w:sz w:val="20"/>
              </w:rPr>
              <w:t xml:space="preserve">Capability</w:t>
            </w:r>
          </w:p>
        </w:tc>
        <w:tc>
          <w:tcPr>
            <w:tcW w:type="dxa" w:w="2160"/>
            <w:shd w:val="clear" w:color="auto" w:fill="1E1B4B"/>
          </w:tcPr>
          <w:p>
            <w:pPr>
              <w:pStyle w:val="Compact"/>
              <w:spacing w:after="40"/>
              <w:jc w:val="left"/>
            </w:pPr>
            <w:r>
              <w:rPr>
                <w:b/>
                <w:color w:val="FFFFFF"/>
                <w:sz w:val="20"/>
              </w:rPr>
              <w:t xml:space="preserve">Status</w:t>
            </w:r>
          </w:p>
        </w:tc>
      </w:tr>
      <w:tr>
        <w:tc>
          <w:tcPr>
            <w:tcW w:type="dxa" w:w="7200"/>
          </w:tcPr>
          <w:p>
            <w:pPr>
              <w:pStyle w:val="Compact"/>
              <w:spacing w:after="40"/>
              <w:jc w:val="left"/>
            </w:pPr>
            <w:r>
              <w:rPr>
                <w:sz w:val="20"/>
              </w:rPr>
              <w:t xml:space="preserve">Functional and form validation tests</w:t>
            </w:r>
          </w:p>
        </w:tc>
        <w:tc>
          <w:tcPr>
            <w:tcW w:type="dxa" w:w="2160"/>
          </w:tcPr>
          <w:p>
            <w:pPr>
              <w:pStyle w:val="Compact"/>
              <w:spacing w:after="40"/>
              <w:jc w:val="left"/>
            </w:pPr>
            <w:r>
              <w:rPr>
                <w:sz w:val="20"/>
              </w:rPr>
              <w:t xml:space="preserve">Demo mode</w:t>
            </w:r>
          </w:p>
        </w:tc>
      </w:tr>
      <w:tr>
        <w:tc>
          <w:tcPr>
            <w:tcW w:type="dxa" w:w="7200"/>
          </w:tcPr>
          <w:p>
            <w:pPr>
              <w:pStyle w:val="Compact"/>
              <w:spacing w:after="40"/>
              <w:jc w:val="left"/>
            </w:pPr>
            <w:r>
              <w:rPr>
                <w:sz w:val="20"/>
              </w:rPr>
              <w:t xml:space="preserve">Accessibility (WCAG 2.2 AA with axe-core)</w:t>
            </w:r>
          </w:p>
        </w:tc>
        <w:tc>
          <w:tcPr>
            <w:tcW w:type="dxa" w:w="2160"/>
          </w:tcPr>
          <w:p>
            <w:pPr>
              <w:pStyle w:val="Compact"/>
              <w:spacing w:after="40"/>
              <w:jc w:val="left"/>
            </w:pPr>
            <w:r>
              <w:rPr>
                <w:sz w:val="20"/>
              </w:rPr>
              <w:t xml:space="preserve">Demo mode</w:t>
            </w:r>
          </w:p>
        </w:tc>
      </w:tr>
      <w:tr>
        <w:tc>
          <w:tcPr>
            <w:tcW w:type="dxa" w:w="7200"/>
          </w:tcPr>
          <w:p>
            <w:pPr>
              <w:pStyle w:val="Compact"/>
              <w:spacing w:after="40"/>
              <w:jc w:val="left"/>
            </w:pPr>
            <w:r>
              <w:rPr>
                <w:sz w:val="20"/>
              </w:rPr>
              <w:t xml:space="preserve">Rate limiting and 429 burst detection</w:t>
            </w:r>
          </w:p>
        </w:tc>
        <w:tc>
          <w:tcPr>
            <w:tcW w:type="dxa" w:w="2160"/>
          </w:tcPr>
          <w:p>
            <w:pPr>
              <w:pStyle w:val="Compact"/>
              <w:spacing w:after="40"/>
              <w:jc w:val="left"/>
            </w:pPr>
            <w:r>
              <w:rPr>
                <w:sz w:val="20"/>
              </w:rPr>
              <w:t xml:space="preserve">Demo mode</w:t>
            </w:r>
          </w:p>
        </w:tc>
      </w:tr>
      <w:tr>
        <w:tc>
          <w:tcPr>
            <w:tcW w:type="dxa" w:w="7200"/>
          </w:tcPr>
          <w:p>
            <w:pPr>
              <w:pStyle w:val="Compact"/>
              <w:spacing w:after="40"/>
              <w:jc w:val="left"/>
            </w:pPr>
            <w:r>
              <w:rPr>
                <w:sz w:val="20"/>
              </w:rPr>
              <w:t xml:space="preserve">Security checks (XSS, SQLi patterns, headers, cookies, CORS)</w:t>
            </w:r>
          </w:p>
        </w:tc>
        <w:tc>
          <w:tcPr>
            <w:tcW w:type="dxa" w:w="2160"/>
          </w:tcPr>
          <w:p>
            <w:pPr>
              <w:pStyle w:val="Compact"/>
              <w:spacing w:after="40"/>
              <w:jc w:val="left"/>
            </w:pPr>
            <w:r>
              <w:rPr>
                <w:sz w:val="20"/>
              </w:rPr>
              <w:t xml:space="preserve">Demo mode</w:t>
            </w:r>
          </w:p>
        </w:tc>
      </w:tr>
      <w:tr>
        <w:tc>
          <w:tcPr>
            <w:tcW w:type="dxa" w:w="7200"/>
          </w:tcPr>
          <w:p>
            <w:pPr>
              <w:pStyle w:val="Compact"/>
              <w:spacing w:after="40"/>
              <w:jc w:val="left"/>
            </w:pPr>
            <w:r>
              <w:rPr>
                <w:sz w:val="20"/>
              </w:rPr>
              <w:t xml:space="preserve">API testing from OpenAPI or captured traffic</w:t>
            </w:r>
          </w:p>
        </w:tc>
        <w:tc>
          <w:tcPr>
            <w:tcW w:type="dxa" w:w="2160"/>
          </w:tcPr>
          <w:p>
            <w:pPr>
              <w:pStyle w:val="Compact"/>
              <w:spacing w:after="40"/>
              <w:jc w:val="left"/>
            </w:pPr>
            <w:r>
              <w:rPr>
                <w:sz w:val="20"/>
              </w:rPr>
              <w:t xml:space="preserve">Demo mode</w:t>
            </w:r>
          </w:p>
        </w:tc>
      </w:tr>
      <w:tr>
        <w:tc>
          <w:tcPr>
            <w:tcW w:type="dxa" w:w="7200"/>
          </w:tcPr>
          <w:p>
            <w:pPr>
              <w:pStyle w:val="Compact"/>
              <w:spacing w:after="40"/>
              <w:jc w:val="left"/>
            </w:pPr>
            <w:r>
              <w:rPr>
                <w:sz w:val="20"/>
              </w:rPr>
              <w:t xml:space="preserve">Self-healing selectors</w:t>
            </w:r>
          </w:p>
        </w:tc>
        <w:tc>
          <w:tcPr>
            <w:tcW w:type="dxa" w:w="2160"/>
          </w:tcPr>
          <w:p>
            <w:pPr>
              <w:pStyle w:val="Compact"/>
              <w:spacing w:after="40"/>
              <w:jc w:val="left"/>
            </w:pPr>
            <w:r>
              <w:rPr>
                <w:sz w:val="20"/>
              </w:rPr>
              <w:t xml:space="preserve">Demo mode</w:t>
            </w:r>
          </w:p>
        </w:tc>
      </w:tr>
      <w:tr>
        <w:tc>
          <w:tcPr>
            <w:tcW w:type="dxa" w:w="7200"/>
          </w:tcPr>
          <w:p>
            <w:pPr>
              <w:pStyle w:val="Compact"/>
              <w:spacing w:after="40"/>
              <w:jc w:val="left"/>
            </w:pPr>
            <w:r>
              <w:rPr>
                <w:sz w:val="20"/>
              </w:rPr>
              <w:t xml:space="preserve">Load, stress and spike testing</w:t>
            </w:r>
          </w:p>
        </w:tc>
        <w:tc>
          <w:tcPr>
            <w:tcW w:type="dxa" w:w="2160"/>
          </w:tcPr>
          <w:p>
            <w:pPr>
              <w:pStyle w:val="Compact"/>
              <w:spacing w:after="40"/>
              <w:jc w:val="left"/>
            </w:pPr>
            <w:r>
              <w:rPr>
                <w:sz w:val="20"/>
              </w:rPr>
              <w:t xml:space="preserve">Roadmap</w:t>
            </w:r>
          </w:p>
        </w:tc>
      </w:tr>
      <w:tr>
        <w:tc>
          <w:tcPr>
            <w:tcW w:type="dxa" w:w="7200"/>
          </w:tcPr>
          <w:p>
            <w:pPr>
              <w:pStyle w:val="Compact"/>
              <w:spacing w:after="40"/>
              <w:jc w:val="left"/>
            </w:pPr>
            <w:r>
              <w:rPr>
                <w:sz w:val="20"/>
              </w:rPr>
              <w:t xml:space="preserve">Cross-browser and visual regression</w:t>
            </w:r>
          </w:p>
        </w:tc>
        <w:tc>
          <w:tcPr>
            <w:tcW w:type="dxa" w:w="2160"/>
          </w:tcPr>
          <w:p>
            <w:pPr>
              <w:pStyle w:val="Compact"/>
              <w:spacing w:after="40"/>
              <w:jc w:val="left"/>
            </w:pPr>
            <w:r>
              <w:rPr>
                <w:sz w:val="20"/>
              </w:rPr>
              <w:t xml:space="preserve">Roadmap</w:t>
            </w:r>
          </w:p>
        </w:tc>
      </w:tr>
    </w:tbl>
    <w:bookmarkEnd w:id="24"/>
    <w:bookmarkStart w:id="25" w:name="productivity-features"/>
    <w:p>
      <w:pPr>
        <w:pStyle w:val="Heading3"/>
      </w:pPr>
      <w:r>
        <w:t xml:space="preserve">Productivity features</w:t>
      </w:r>
    </w:p>
    <w:tbl>
      <w:tblPr>
        <w:tblStyle w:val="Table"/>
        <w:tblW w:type="pct" w:w="5000"/>
        <w:tblLayout w:type="fixed"/>
        <w:tblLook w:firstRow="1" w:lastRow="0" w:firstColumn="0" w:lastColumn="0" w:noHBand="0" w:noVBand="0" w:val="0020"/>
        <w:jc w:val="start"/>
        <w:tblBorders>
          <w:top w:val="single" w:sz="4" w:color="BFC4D6"/>
          <w:left w:val="single" w:sz="4" w:color="BFC4D6"/>
          <w:bottom w:val="single" w:sz="4" w:color="BFC4D6"/>
          <w:right w:val="single" w:sz="4" w:color="BFC4D6"/>
          <w:insideH w:val="single" w:sz="4" w:color="BFC4D6"/>
          <w:insideV w:val="single" w:sz="4" w:color="BFC4D6"/>
        </w:tblBorders>
        <w:tblLayout w:type="fixed"/>
      </w:tblPr>
      <w:tblGrid>
        <w:gridCol w:w="7200"/>
        <w:gridCol w:w="2160"/>
      </w:tblGrid>
      <w:tr>
        <w:trPr>
          <w:tblHeader w:val="true"/>
        </w:trPr>
        <w:tc>
          <w:tcPr>
            <w:tcW w:type="dxa" w:w="7200"/>
            <w:shd w:val="clear" w:color="auto" w:fill="1E1B4B"/>
          </w:tcPr>
          <w:p>
            <w:pPr>
              <w:pStyle w:val="Compact"/>
              <w:spacing w:after="40"/>
              <w:jc w:val="left"/>
            </w:pPr>
            <w:r>
              <w:rPr>
                <w:b/>
                <w:color w:val="FFFFFF"/>
                <w:sz w:val="20"/>
              </w:rPr>
              <w:t xml:space="preserve">Feature</w:t>
            </w:r>
          </w:p>
        </w:tc>
        <w:tc>
          <w:tcPr>
            <w:tcW w:type="dxa" w:w="2160"/>
            <w:shd w:val="clear" w:color="auto" w:fill="1E1B4B"/>
          </w:tcPr>
          <w:p>
            <w:pPr>
              <w:pStyle w:val="Compact"/>
              <w:spacing w:after="40"/>
              <w:jc w:val="left"/>
            </w:pPr>
            <w:r>
              <w:rPr>
                <w:b/>
                <w:color w:val="FFFFFF"/>
                <w:sz w:val="20"/>
              </w:rPr>
              <w:t xml:space="preserve">Status</w:t>
            </w:r>
          </w:p>
        </w:tc>
      </w:tr>
      <w:tr>
        <w:tc>
          <w:tcPr>
            <w:tcW w:type="dxa" w:w="7200"/>
          </w:tcPr>
          <w:p>
            <w:pPr>
              <w:pStyle w:val="Compact"/>
              <w:spacing w:after="40"/>
              <w:jc w:val="left"/>
            </w:pPr>
            <w:r>
              <w:rPr>
                <w:sz w:val="20"/>
              </w:rPr>
              <w:t xml:space="preserve">Fix with AI (root cause, code fix, confidence score)</w:t>
            </w:r>
          </w:p>
        </w:tc>
        <w:tc>
          <w:tcPr>
            <w:tcW w:type="dxa" w:w="2160"/>
          </w:tcPr>
          <w:p>
            <w:pPr>
              <w:pStyle w:val="Compact"/>
              <w:spacing w:after="40"/>
              <w:jc w:val="left"/>
            </w:pPr>
            <w:r>
              <w:rPr>
                <w:sz w:val="20"/>
              </w:rPr>
              <w:t xml:space="preserve">Built</w:t>
            </w:r>
          </w:p>
        </w:tc>
      </w:tr>
      <w:tr>
        <w:tc>
          <w:tcPr>
            <w:tcW w:type="dxa" w:w="7200"/>
          </w:tcPr>
          <w:p>
            <w:pPr>
              <w:pStyle w:val="Compact"/>
              <w:spacing w:after="40"/>
              <w:jc w:val="left"/>
            </w:pPr>
            <w:r>
              <w:rPr>
                <w:sz w:val="20"/>
              </w:rPr>
              <w:t xml:space="preserve">Run comparison (fixed, new failure, still failing)</w:t>
            </w:r>
          </w:p>
        </w:tc>
        <w:tc>
          <w:tcPr>
            <w:tcW w:type="dxa" w:w="2160"/>
          </w:tcPr>
          <w:p>
            <w:pPr>
              <w:pStyle w:val="Compact"/>
              <w:spacing w:after="40"/>
              <w:jc w:val="left"/>
            </w:pPr>
            <w:r>
              <w:rPr>
                <w:sz w:val="20"/>
              </w:rPr>
              <w:t xml:space="preserve">Built</w:t>
            </w:r>
          </w:p>
        </w:tc>
      </w:tr>
      <w:tr>
        <w:tc>
          <w:tcPr>
            <w:tcW w:type="dxa" w:w="7200"/>
          </w:tcPr>
          <w:p>
            <w:pPr>
              <w:pStyle w:val="Compact"/>
              <w:spacing w:after="40"/>
              <w:jc w:val="left"/>
            </w:pPr>
            <w:r>
              <w:rPr>
                <w:sz w:val="20"/>
              </w:rPr>
              <w:t xml:space="preserve">CI/CD integration (GitHub Actions snippet, quality gate, README badge)</w:t>
            </w:r>
          </w:p>
        </w:tc>
        <w:tc>
          <w:tcPr>
            <w:tcW w:type="dxa" w:w="2160"/>
          </w:tcPr>
          <w:p>
            <w:pPr>
              <w:pStyle w:val="Compact"/>
              <w:spacing w:after="40"/>
              <w:jc w:val="left"/>
            </w:pPr>
            <w:r>
              <w:rPr>
                <w:sz w:val="20"/>
              </w:rPr>
              <w:t xml:space="preserve">Built</w:t>
            </w:r>
          </w:p>
        </w:tc>
      </w:tr>
    </w:tbl>
    <w:bookmarkEnd w:id="25"/>
    <w:bookmarkEnd w:id="26"/>
    <w:bookmarkStart w:id="30" w:name="architecture"/>
    <w:p>
      <w:pPr>
        <w:pStyle w:val="Heading2"/>
      </w:pPr>
      <w:r>
        <w:t xml:space="preserve">4. Architecture</w:t>
      </w:r>
    </w:p>
    <w:p>
      <w:pPr>
        <w:pStyle w:val="CaptionedFigure"/>
      </w:pPr>
      <w:r>
        <w:drawing>
          <wp:inline>
            <wp:extent cx="5334000" cy="3088249"/>
            <wp:effectExtent b="0" l="0" r="0" t="0"/>
            <wp:docPr descr="Architecture diagram" title="" id="28" name="Picture"/>
            <a:graphic>
              <a:graphicData uri="http://schemas.openxmlformats.org/drawingml/2006/picture">
                <pic:pic>
                  <pic:nvPicPr>
                    <pic:cNvPr descr="architecture-diagram.png" id="29" name="Picture"/>
                    <pic:cNvPicPr>
                      <a:picLocks noChangeArrowheads="1" noChangeAspect="1"/>
                    </pic:cNvPicPr>
                  </pic:nvPicPr>
                  <pic:blipFill>
                    <a:blip r:embed="rId27"/>
                    <a:stretch>
                      <a:fillRect/>
                    </a:stretch>
                  </pic:blipFill>
                  <pic:spPr bwMode="auto">
                    <a:xfrm>
                      <a:off x="0" y="0"/>
                      <a:ext cx="5334000" cy="3088249"/>
                    </a:xfrm>
                    <a:prstGeom prst="rect">
                      <a:avLst/>
                    </a:prstGeom>
                    <a:noFill/>
                    <a:ln w="9525">
                      <a:noFill/>
                      <a:headEnd/>
                      <a:tailEnd/>
                    </a:ln>
                  </pic:spPr>
                </pic:pic>
              </a:graphicData>
            </a:graphic>
          </wp:inline>
        </w:drawing>
      </w:r>
    </w:p>
    <w:p>
      <w:pPr>
        <w:pStyle w:val="ImageCaption"/>
      </w:pPr>
      <w:r>
        <w:t xml:space="preserve">Architecture diagram</w:t>
      </w:r>
    </w:p>
    <w:p>
      <w:pPr>
        <w:pStyle w:val="BodyText"/>
      </w:pPr>
      <w:r>
        <w:rPr>
          <w:bCs/>
          <w:b/>
        </w:rPr>
        <w:t xml:space="preserve">Design idea:</w:t>
      </w:r>
      <w:r>
        <w:t xml:space="preserve"> </w:t>
      </w:r>
      <w:r>
        <w:t xml:space="preserve">one shared core (crawler, data generator, Gemini layer, runner, reporting) with each testing type as a small plugin that returns results in the same format. Adding a new test type means adding one plugin, not building a new tool.</w:t>
      </w:r>
    </w:p>
    <w:bookmarkEnd w:id="30"/>
    <w:bookmarkStart w:id="35" w:name="installation-guide"/>
    <w:p>
      <w:pPr>
        <w:pStyle w:val="Heading2"/>
      </w:pPr>
      <w:r>
        <w:t xml:space="preserve">5. Installation guide</w:t>
      </w:r>
    </w:p>
    <w:bookmarkStart w:id="31" w:name="prerequisites"/>
    <w:p>
      <w:pPr>
        <w:pStyle w:val="Heading3"/>
      </w:pPr>
      <w:r>
        <w:t xml:space="preserve">Prerequisites</w:t>
      </w:r>
    </w:p>
    <w:p>
      <w:pPr>
        <w:numPr>
          <w:ilvl w:val="0"/>
          <w:numId w:val="1002"/>
        </w:numPr>
        <w:pStyle w:val="Compact"/>
      </w:pPr>
      <w:r>
        <w:t xml:space="preserve">Node.js 18 or newer and npm</w:t>
      </w:r>
    </w:p>
    <w:p>
      <w:pPr>
        <w:numPr>
          <w:ilvl w:val="0"/>
          <w:numId w:val="1002"/>
        </w:numPr>
        <w:pStyle w:val="Compact"/>
      </w:pPr>
      <w:r>
        <w:t xml:space="preserve">A Gemini API key from Google AI Studio (https://aistudio.google.com/apikey)</w:t>
      </w:r>
    </w:p>
    <w:p>
      <w:pPr>
        <w:numPr>
          <w:ilvl w:val="0"/>
          <w:numId w:val="1002"/>
        </w:numPr>
        <w:pStyle w:val="Compact"/>
      </w:pPr>
      <w:r>
        <w:t xml:space="preserve">Git</w:t>
      </w:r>
    </w:p>
    <w:bookmarkEnd w:id="31"/>
    <w:bookmarkStart w:id="32" w:name="steps"/>
    <w:p>
      <w:pPr>
        <w:pStyle w:val="Heading3"/>
      </w:pPr>
      <w:r>
        <w:t xml:space="preserve">Steps</w:t>
      </w:r>
    </w:p>
    <w:p>
      <w:pPr>
        <w:pStyle w:val="SourceCode"/>
        <w:shd w:val="clear" w:color="auto" w:fill="F1F2F8"/>
        <w:spacing w:after="0"/>
      </w:pPr>
      <w:r>
        <w:rPr>
          <w:rStyle w:val="CommentTok"/>
          <w:rFonts w:ascii="Consolas" w:hAnsi="Consolas" w:cs="Consolas"/>
          <w:sz w:val="19"/>
        </w:rPr>
        <w:t xml:space="preserve"># 1. Clone the repository</w:t>
      </w:r>
      <w:r>
        <w:rPr>
          <w:rFonts w:ascii="Consolas" w:hAnsi="Consolas" w:cs="Consolas"/>
          <w:sz w:val="19"/>
        </w:rPr>
        <w:br/>
      </w:r>
      <w:r>
        <w:rPr>
          <w:rStyle w:val="FunctionTok"/>
          <w:rFonts w:ascii="Consolas" w:hAnsi="Consolas" w:cs="Consolas"/>
          <w:sz w:val="19"/>
        </w:rPr>
        <w:t xml:space="preserve">git</w:t>
      </w:r>
      <w:r>
        <w:rPr>
          <w:rStyle w:val="NormalTok"/>
          <w:rFonts w:ascii="Consolas" w:hAnsi="Consolas" w:cs="Consolas"/>
          <w:sz w:val="19"/>
        </w:rPr>
        <w:t xml:space="preserve"> clone https://github.com/258x5a4201-max/TestPilot-AI.git</w:t>
      </w:r>
      <w:r>
        <w:rPr>
          <w:rFonts w:ascii="Consolas" w:hAnsi="Consolas" w:cs="Consolas"/>
          <w:sz w:val="19"/>
        </w:rPr>
        <w:br/>
      </w:r>
      <w:r>
        <w:rPr>
          <w:rStyle w:val="BuiltInTok"/>
          <w:rFonts w:ascii="Consolas" w:hAnsi="Consolas" w:cs="Consolas"/>
          <w:sz w:val="19"/>
        </w:rPr>
        <w:t xml:space="preserve">cd</w:t>
      </w:r>
      <w:r>
        <w:rPr>
          <w:rStyle w:val="NormalTok"/>
          <w:rFonts w:ascii="Consolas" w:hAnsi="Consolas" w:cs="Consolas"/>
          <w:sz w:val="19"/>
        </w:rPr>
        <w:t xml:space="preserve"> TestPilot-AI</w:t>
      </w:r>
      <w:r>
        <w:rPr>
          <w:rFonts w:ascii="Consolas" w:hAnsi="Consolas" w:cs="Consolas"/>
          <w:sz w:val="19"/>
        </w:rPr>
        <w:br/>
      </w:r>
      <w:r>
        <w:rPr>
          <w:rFonts w:ascii="Consolas" w:hAnsi="Consolas" w:cs="Consolas"/>
          <w:sz w:val="19"/>
        </w:rPr>
        <w:br/>
      </w:r>
      <w:r>
        <w:rPr>
          <w:rStyle w:val="CommentTok"/>
          <w:rFonts w:ascii="Consolas" w:hAnsi="Consolas" w:cs="Consolas"/>
          <w:sz w:val="19"/>
        </w:rPr>
        <w:t xml:space="preserve"># 2. Install dependencies</w:t>
      </w:r>
      <w:r>
        <w:rPr>
          <w:rFonts w:ascii="Consolas" w:hAnsi="Consolas" w:cs="Consolas"/>
          <w:sz w:val="19"/>
        </w:rPr>
        <w:br/>
      </w:r>
      <w:r>
        <w:rPr>
          <w:rStyle w:val="ExtensionTok"/>
          <w:rFonts w:ascii="Consolas" w:hAnsi="Consolas" w:cs="Consolas"/>
          <w:sz w:val="19"/>
        </w:rPr>
        <w:t xml:space="preserve">npm</w:t>
      </w:r>
      <w:r>
        <w:rPr>
          <w:rStyle w:val="NormalTok"/>
          <w:rFonts w:ascii="Consolas" w:hAnsi="Consolas" w:cs="Consolas"/>
          <w:sz w:val="19"/>
        </w:rPr>
        <w:t xml:space="preserve"> install</w:t>
      </w:r>
      <w:r>
        <w:rPr>
          <w:rFonts w:ascii="Consolas" w:hAnsi="Consolas" w:cs="Consolas"/>
          <w:sz w:val="19"/>
        </w:rPr>
        <w:br/>
      </w:r>
      <w:r>
        <w:rPr>
          <w:rFonts w:ascii="Consolas" w:hAnsi="Consolas" w:cs="Consolas"/>
          <w:sz w:val="19"/>
        </w:rPr>
        <w:br/>
      </w:r>
      <w:r>
        <w:rPr>
          <w:rStyle w:val="CommentTok"/>
          <w:rFonts w:ascii="Consolas" w:hAnsi="Consolas" w:cs="Consolas"/>
          <w:sz w:val="19"/>
        </w:rPr>
        <w:t xml:space="preserve"># 3. Add your API key (never commit this file)</w:t>
      </w:r>
      <w:r>
        <w:rPr>
          <w:rFonts w:ascii="Consolas" w:hAnsi="Consolas" w:cs="Consolas"/>
          <w:sz w:val="19"/>
        </w:rPr>
        <w:br/>
      </w:r>
      <w:r>
        <w:rPr>
          <w:rStyle w:val="FunctionTok"/>
          <w:rFonts w:ascii="Consolas" w:hAnsi="Consolas" w:cs="Consolas"/>
          <w:sz w:val="19"/>
        </w:rPr>
        <w:t xml:space="preserve">cp</w:t>
      </w:r>
      <w:r>
        <w:rPr>
          <w:rStyle w:val="NormalTok"/>
          <w:rFonts w:ascii="Consolas" w:hAnsi="Consolas" w:cs="Consolas"/>
          <w:sz w:val="19"/>
        </w:rPr>
        <w:t xml:space="preserve"> .env.example .env.local</w:t>
      </w:r>
      <w:r>
        <w:rPr>
          <w:rFonts w:ascii="Consolas" w:hAnsi="Consolas" w:cs="Consolas"/>
          <w:sz w:val="19"/>
        </w:rPr>
        <w:br/>
      </w:r>
      <w:r>
        <w:rPr>
          <w:rStyle w:val="CommentTok"/>
          <w:rFonts w:ascii="Consolas" w:hAnsi="Consolas" w:cs="Consolas"/>
          <w:sz w:val="19"/>
        </w:rPr>
        <w:t xml:space="preserve"># open .env.local and set:</w:t>
      </w:r>
      <w:r>
        <w:rPr>
          <w:rFonts w:ascii="Consolas" w:hAnsi="Consolas" w:cs="Consolas"/>
          <w:sz w:val="19"/>
        </w:rPr>
        <w:br/>
      </w:r>
      <w:r>
        <w:rPr>
          <w:rStyle w:val="CommentTok"/>
          <w:rFonts w:ascii="Consolas" w:hAnsi="Consolas" w:cs="Consolas"/>
          <w:sz w:val="19"/>
        </w:rPr>
        <w:t xml:space="preserve"># GEMINI_API_KEY=your_key_here</w:t>
      </w:r>
      <w:r>
        <w:rPr>
          <w:rFonts w:ascii="Consolas" w:hAnsi="Consolas" w:cs="Consolas"/>
          <w:sz w:val="19"/>
        </w:rPr>
        <w:br/>
      </w:r>
      <w:r>
        <w:rPr>
          <w:rFonts w:ascii="Consolas" w:hAnsi="Consolas" w:cs="Consolas"/>
          <w:sz w:val="19"/>
        </w:rPr>
        <w:br/>
      </w:r>
      <w:r>
        <w:rPr>
          <w:rStyle w:val="CommentTok"/>
          <w:rFonts w:ascii="Consolas" w:hAnsi="Consolas" w:cs="Consolas"/>
          <w:sz w:val="19"/>
        </w:rPr>
        <w:t xml:space="preserve"># 4. Run locally</w:t>
      </w:r>
      <w:r>
        <w:rPr>
          <w:rFonts w:ascii="Consolas" w:hAnsi="Consolas" w:cs="Consolas"/>
          <w:sz w:val="19"/>
        </w:rPr>
        <w:br/>
      </w:r>
      <w:r>
        <w:rPr>
          <w:rStyle w:val="ExtensionTok"/>
          <w:rFonts w:ascii="Consolas" w:hAnsi="Consolas" w:cs="Consolas"/>
          <w:sz w:val="19"/>
        </w:rPr>
        <w:t xml:space="preserve">npm</w:t>
      </w:r>
      <w:r>
        <w:rPr>
          <w:rStyle w:val="NormalTok"/>
          <w:rFonts w:ascii="Consolas" w:hAnsi="Consolas" w:cs="Consolas"/>
          <w:sz w:val="19"/>
        </w:rPr>
        <w:t xml:space="preserve"> run dev</w:t>
      </w:r>
      <w:r>
        <w:rPr>
          <w:rFonts w:ascii="Consolas" w:hAnsi="Consolas" w:cs="Consolas"/>
          <w:sz w:val="19"/>
        </w:rPr>
        <w:br/>
      </w:r>
      <w:r>
        <w:rPr>
          <w:rStyle w:val="CommentTok"/>
          <w:rFonts w:ascii="Consolas" w:hAnsi="Consolas" w:cs="Consolas"/>
          <w:sz w:val="19"/>
        </w:rPr>
        <w:t xml:space="preserve"># open the URL printed in the terminal (usually http://localhost:3000 or http://localhost:5173)</w:t>
      </w:r>
      <w:r>
        <w:rPr>
          <w:rFonts w:ascii="Consolas" w:hAnsi="Consolas" w:cs="Consolas"/>
          <w:sz w:val="19"/>
        </w:rPr>
        <w:br/>
      </w:r>
      <w:r>
        <w:rPr>
          <w:rFonts w:ascii="Consolas" w:hAnsi="Consolas" w:cs="Consolas"/>
          <w:sz w:val="19"/>
        </w:rPr>
        <w:br/>
      </w:r>
      <w:r>
        <w:rPr>
          <w:rStyle w:val="CommentTok"/>
          <w:rFonts w:ascii="Consolas" w:hAnsi="Consolas" w:cs="Consolas"/>
          <w:sz w:val="19"/>
        </w:rPr>
        <w:t xml:space="preserve"># 5. Build for production (optional)</w:t>
      </w:r>
      <w:r>
        <w:rPr>
          <w:rFonts w:ascii="Consolas" w:hAnsi="Consolas" w:cs="Consolas"/>
          <w:sz w:val="19"/>
        </w:rPr>
        <w:br/>
      </w:r>
      <w:r>
        <w:rPr>
          <w:rStyle w:val="ExtensionTok"/>
          <w:rFonts w:ascii="Consolas" w:hAnsi="Consolas" w:cs="Consolas"/>
          <w:sz w:val="19"/>
        </w:rPr>
        <w:t xml:space="preserve">npm</w:t>
      </w:r>
      <w:r>
        <w:rPr>
          <w:rStyle w:val="NormalTok"/>
          <w:rFonts w:ascii="Consolas" w:hAnsi="Consolas" w:cs="Consolas"/>
          <w:sz w:val="19"/>
        </w:rPr>
        <w:t xml:space="preserve"> run build</w:t>
      </w:r>
    </w:p>
    <w:p>
      <w:pPr>
        <w:pStyle w:val="BlockText"/>
      </w:pPr>
      <w:r>
        <w:t xml:space="preserve">Folder names, ports and script names depend on how Google AI Studio exported your project. If a command differs, check the</w:t>
      </w:r>
      <w:r>
        <w:t xml:space="preserve"> </w:t>
      </w:r>
      <w:r>
        <w:rPr>
          <w:rStyle w:val="VerbatimChar"/>
        </w:rPr>
        <w:t xml:space="preserve">scripts</w:t>
      </w:r>
      <w:r>
        <w:t xml:space="preserve"> </w:t>
      </w:r>
      <w:r>
        <w:t xml:space="preserve">section of</w:t>
      </w:r>
      <w:r>
        <w:t xml:space="preserve"> </w:t>
      </w:r>
      <w:r>
        <w:rPr>
          <w:rStyle w:val="VerbatimChar"/>
        </w:rPr>
        <w:t xml:space="preserve">package.json</w:t>
      </w:r>
      <w:r>
        <w:t xml:space="preserve">.</w:t>
      </w:r>
    </w:p>
    <w:bookmarkEnd w:id="32"/>
    <w:bookmarkStart w:id="33" w:name="deployment"/>
    <w:p>
      <w:pPr>
        <w:pStyle w:val="Heading3"/>
      </w:pPr>
      <w:r>
        <w:t xml:space="preserve">Deployment</w:t>
      </w:r>
    </w:p>
    <w:p>
      <w:pPr>
        <w:pStyle w:val="FirstParagraph"/>
      </w:pPr>
      <w:r>
        <w:t xml:space="preserve">The project is deployed from Google AI Studio to Google Cloud Run. Add</w:t>
      </w:r>
      <w:r>
        <w:t xml:space="preserve"> </w:t>
      </w:r>
      <w:r>
        <w:rPr>
          <w:rStyle w:val="VerbatimChar"/>
        </w:rPr>
        <w:t xml:space="preserve">GEMINI_API_KEY</w:t>
      </w:r>
      <w:r>
        <w:t xml:space="preserve"> </w:t>
      </w:r>
      <w:r>
        <w:t xml:space="preserve">as an environment variable or secret in the deploy settings. Do not put it in the code. The static frontend can also be deployed to Vercel or Netlify from the GitHub repository.</w:t>
      </w:r>
    </w:p>
    <w:bookmarkEnd w:id="33"/>
    <w:bookmarkStart w:id="34" w:name="quick-try"/>
    <w:p>
      <w:pPr>
        <w:pStyle w:val="Heading3"/>
      </w:pPr>
      <w:r>
        <w:t xml:space="preserve">Quick try</w:t>
      </w:r>
    </w:p>
    <w:p>
      <w:pPr>
        <w:numPr>
          <w:ilvl w:val="0"/>
          <w:numId w:val="1003"/>
        </w:numPr>
        <w:pStyle w:val="Compact"/>
      </w:pPr>
      <w:r>
        <w:t xml:space="preserve">Open the live URL.</w:t>
      </w:r>
    </w:p>
    <w:p>
      <w:pPr>
        <w:numPr>
          <w:ilvl w:val="0"/>
          <w:numId w:val="1003"/>
        </w:numPr>
        <w:pStyle w:val="Compact"/>
      </w:pPr>
      <w:r>
        <w:t xml:space="preserve">Enter</w:t>
      </w:r>
      <w:r>
        <w:t xml:space="preserve"> </w:t>
      </w:r>
      <w:r>
        <w:rPr>
          <w:rStyle w:val="VerbatimChar"/>
        </w:rPr>
        <w:t xml:space="preserve">https://www.saucedemo.com</w:t>
      </w:r>
      <w:r>
        <w:t xml:space="preserve"> </w:t>
      </w:r>
      <w:r>
        <w:t xml:space="preserve">as the target.</w:t>
      </w:r>
    </w:p>
    <w:p>
      <w:pPr>
        <w:numPr>
          <w:ilvl w:val="0"/>
          <w:numId w:val="1003"/>
        </w:numPr>
        <w:pStyle w:val="Compact"/>
      </w:pPr>
      <w:r>
        <w:t xml:space="preserve">Optional test login:</w:t>
      </w:r>
      <w:r>
        <w:t xml:space="preserve"> </w:t>
      </w:r>
      <w:r>
        <w:rPr>
          <w:rStyle w:val="VerbatimChar"/>
        </w:rPr>
        <w:t xml:space="preserve">standard_user</w:t>
      </w:r>
      <w:r>
        <w:t xml:space="preserve"> </w:t>
      </w:r>
      <w:r>
        <w:t xml:space="preserve">/</w:t>
      </w:r>
      <w:r>
        <w:t xml:space="preserve"> </w:t>
      </w:r>
      <w:r>
        <w:rPr>
          <w:rStyle w:val="VerbatimChar"/>
        </w:rPr>
        <w:t xml:space="preserve">secret_sauce</w:t>
      </w:r>
      <w:r>
        <w:t xml:space="preserve">. Leave the OpenAPI field blank.</w:t>
      </w:r>
    </w:p>
    <w:p>
      <w:pPr>
        <w:numPr>
          <w:ilvl w:val="0"/>
          <w:numId w:val="1003"/>
        </w:numPr>
        <w:pStyle w:val="Compact"/>
      </w:pPr>
      <w:r>
        <w:t xml:space="preserve">Walk through the six steps and review the App Map, test strategy, synthetic data and report.</w:t>
      </w:r>
    </w:p>
    <w:bookmarkEnd w:id="34"/>
    <w:bookmarkEnd w:id="35"/>
    <w:bookmarkStart w:id="36" w:name="business-use-case"/>
    <w:p>
      <w:pPr>
        <w:pStyle w:val="Heading2"/>
      </w:pPr>
      <w:r>
        <w:t xml:space="preserve">6. Business use case</w:t>
      </w:r>
    </w:p>
    <w:p>
      <w:pPr>
        <w:pStyle w:val="FirstParagraph"/>
      </w:pPr>
      <w:r>
        <w:rPr>
          <w:bCs/>
          <w:b/>
        </w:rPr>
        <w:t xml:space="preserve">Who needs it</w:t>
      </w:r>
    </w:p>
    <w:p>
      <w:pPr>
        <w:numPr>
          <w:ilvl w:val="0"/>
          <w:numId w:val="1004"/>
        </w:numPr>
        <w:pStyle w:val="Compact"/>
      </w:pPr>
      <w:r>
        <w:t xml:space="preserve">Startups and small dev teams with no dedicated QA staff</w:t>
      </w:r>
    </w:p>
    <w:p>
      <w:pPr>
        <w:numPr>
          <w:ilvl w:val="0"/>
          <w:numId w:val="1004"/>
        </w:numPr>
        <w:pStyle w:val="Compact"/>
      </w:pPr>
      <w:r>
        <w:t xml:space="preserve">Agencies that deliver many client websites and need fast, repeatable testing</w:t>
      </w:r>
    </w:p>
    <w:p>
      <w:pPr>
        <w:numPr>
          <w:ilvl w:val="0"/>
          <w:numId w:val="1004"/>
        </w:numPr>
        <w:pStyle w:val="Compact"/>
      </w:pPr>
      <w:r>
        <w:t xml:space="preserve">Students and freelancers who need professional-grade checks without setup</w:t>
      </w:r>
    </w:p>
    <w:p>
      <w:pPr>
        <w:numPr>
          <w:ilvl w:val="0"/>
          <w:numId w:val="1004"/>
        </w:numPr>
        <w:pStyle w:val="Compact"/>
      </w:pPr>
      <w:r>
        <w:t xml:space="preserve">Product teams that want a quality gate in CI/CD</w:t>
      </w:r>
    </w:p>
    <w:p>
      <w:pPr>
        <w:pStyle w:val="FirstParagraph"/>
      </w:pPr>
      <w:r>
        <w:rPr>
          <w:bCs/>
          <w:b/>
        </w:rPr>
        <w:t xml:space="preserve">Value</w:t>
      </w:r>
    </w:p>
    <w:p>
      <w:pPr>
        <w:numPr>
          <w:ilvl w:val="0"/>
          <w:numId w:val="1005"/>
        </w:numPr>
        <w:pStyle w:val="Compact"/>
      </w:pPr>
      <w:r>
        <w:t xml:space="preserve">Cuts manual QA effort: no test scripts to write, no tools to configure.</w:t>
      </w:r>
    </w:p>
    <w:p>
      <w:pPr>
        <w:numPr>
          <w:ilvl w:val="0"/>
          <w:numId w:val="1005"/>
        </w:numPr>
        <w:pStyle w:val="Compact"/>
      </w:pPr>
      <w:r>
        <w:t xml:space="preserve">Finds more bugs earlier: edge cases (boundary, malicious, unicode) are tested automatically.</w:t>
      </w:r>
    </w:p>
    <w:p>
      <w:pPr>
        <w:numPr>
          <w:ilvl w:val="0"/>
          <w:numId w:val="1005"/>
        </w:numPr>
        <w:pStyle w:val="Compact"/>
      </w:pPr>
      <w:r>
        <w:t xml:space="preserve">One report instead of five tools: functional, API, security, rate limit and accessibility together.</w:t>
      </w:r>
    </w:p>
    <w:p>
      <w:pPr>
        <w:numPr>
          <w:ilvl w:val="0"/>
          <w:numId w:val="1005"/>
        </w:numPr>
        <w:pStyle w:val="Compact"/>
      </w:pPr>
      <w:r>
        <w:t xml:space="preserve">Compliance help: accessibility (WCAG 2.2 AA) and common OWASP-style checks.</w:t>
      </w:r>
    </w:p>
    <w:p>
      <w:pPr>
        <w:numPr>
          <w:ilvl w:val="0"/>
          <w:numId w:val="1005"/>
        </w:numPr>
        <w:pStyle w:val="Compact"/>
      </w:pPr>
      <w:r>
        <w:t xml:space="preserve">Faster fixes: AI explains the root cause and suggests the code change.</w:t>
      </w:r>
    </w:p>
    <w:p>
      <w:pPr>
        <w:pStyle w:val="FirstParagraph"/>
      </w:pPr>
      <w:r>
        <w:rPr>
          <w:bCs/>
          <w:b/>
        </w:rPr>
        <w:t xml:space="preserve">Business model ideas</w:t>
      </w:r>
    </w:p>
    <w:p>
      <w:pPr>
        <w:numPr>
          <w:ilvl w:val="0"/>
          <w:numId w:val="1006"/>
        </w:numPr>
        <w:pStyle w:val="Compact"/>
      </w:pPr>
      <w:r>
        <w:t xml:space="preserve">Free tier: limited runs and safe, read-only tests</w:t>
      </w:r>
    </w:p>
    <w:p>
      <w:pPr>
        <w:numPr>
          <w:ilvl w:val="0"/>
          <w:numId w:val="1006"/>
        </w:numPr>
        <w:pStyle w:val="Compact"/>
      </w:pPr>
      <w:r>
        <w:t xml:space="preserve">Team plan: more runs, scheduled testing, CI/CD, Slack alerts, run history</w:t>
      </w:r>
    </w:p>
    <w:p>
      <w:pPr>
        <w:numPr>
          <w:ilvl w:val="0"/>
          <w:numId w:val="1006"/>
        </w:numPr>
        <w:pStyle w:val="Compact"/>
      </w:pPr>
      <w:r>
        <w:t xml:space="preserve">Enterprise: SSO, private deployment, custom compliance packs, usage quotas</w:t>
      </w:r>
    </w:p>
    <w:bookmarkEnd w:id="36"/>
    <w:bookmarkStart w:id="37" w:name="security-and-ethics"/>
    <w:p>
      <w:pPr>
        <w:pStyle w:val="Heading2"/>
      </w:pPr>
      <w:r>
        <w:t xml:space="preserve">7. Security and ethics</w:t>
      </w:r>
    </w:p>
    <w:p>
      <w:pPr>
        <w:numPr>
          <w:ilvl w:val="0"/>
          <w:numId w:val="1007"/>
        </w:numPr>
        <w:pStyle w:val="Compact"/>
      </w:pPr>
      <w:r>
        <w:rPr>
          <w:bCs/>
          <w:b/>
        </w:rPr>
        <w:t xml:space="preserve">Ownership verification</w:t>
      </w:r>
      <w:r>
        <w:t xml:space="preserve"> </w:t>
      </w:r>
      <w:r>
        <w:t xml:space="preserve">before any intrusive test (rate limiting, security fuzzing).</w:t>
      </w:r>
    </w:p>
    <w:p>
      <w:pPr>
        <w:numPr>
          <w:ilvl w:val="0"/>
          <w:numId w:val="1007"/>
        </w:numPr>
        <w:pStyle w:val="Compact"/>
      </w:pPr>
      <w:r>
        <w:rPr>
          <w:bCs/>
          <w:b/>
        </w:rPr>
        <w:t xml:space="preserve">Safe by design:</w:t>
      </w:r>
      <w:r>
        <w:t xml:space="preserve"> </w:t>
      </w:r>
      <w:r>
        <w:t xml:space="preserve">hard caps on requests per second and test duration, plus a kill switch.</w:t>
      </w:r>
    </w:p>
    <w:p>
      <w:pPr>
        <w:numPr>
          <w:ilvl w:val="0"/>
          <w:numId w:val="1007"/>
        </w:numPr>
        <w:pStyle w:val="Compact"/>
      </w:pPr>
      <w:r>
        <w:rPr>
          <w:bCs/>
          <w:b/>
        </w:rPr>
        <w:t xml:space="preserve">SSRF protection:</w:t>
      </w:r>
      <w:r>
        <w:t xml:space="preserve"> </w:t>
      </w:r>
      <w:r>
        <w:t xml:space="preserve">private and internal addresses (localhost, 192.168.x.x) are blocked.</w:t>
      </w:r>
    </w:p>
    <w:p>
      <w:pPr>
        <w:numPr>
          <w:ilvl w:val="0"/>
          <w:numId w:val="1007"/>
        </w:numPr>
        <w:pStyle w:val="Compact"/>
      </w:pPr>
      <w:r>
        <w:rPr>
          <w:bCs/>
          <w:b/>
        </w:rPr>
        <w:t xml:space="preserve">Privacy:</w:t>
      </w:r>
      <w:r>
        <w:t xml:space="preserve"> </w:t>
      </w:r>
      <w:r>
        <w:t xml:space="preserve">all generated data is synthetic and PII-free. Test credentials are stored encrypted and masked in the UI.</w:t>
      </w:r>
    </w:p>
    <w:p>
      <w:pPr>
        <w:numPr>
          <w:ilvl w:val="0"/>
          <w:numId w:val="1007"/>
        </w:numPr>
        <w:pStyle w:val="Compact"/>
      </w:pPr>
      <w:r>
        <w:rPr>
          <w:bCs/>
          <w:b/>
        </w:rPr>
        <w:t xml:space="preserve">Access control:</w:t>
      </w:r>
      <w:r>
        <w:t xml:space="preserve"> </w:t>
      </w:r>
      <w:r>
        <w:t xml:space="preserve">Admin, Tester and Viewer roles, with an audit log.</w:t>
      </w:r>
    </w:p>
    <w:p>
      <w:pPr>
        <w:numPr>
          <w:ilvl w:val="0"/>
          <w:numId w:val="1007"/>
        </w:numPr>
        <w:pStyle w:val="Compact"/>
      </w:pPr>
      <w:r>
        <w:rPr>
          <w:bCs/>
          <w:b/>
        </w:rPr>
        <w:t xml:space="preserve">Use only on applications you own or have written permission to test.</w:t>
      </w:r>
    </w:p>
    <w:bookmarkEnd w:id="37"/>
    <w:bookmarkStart w:id="38" w:name="future-roadmap"/>
    <w:p>
      <w:pPr>
        <w:pStyle w:val="Heading2"/>
      </w:pPr>
      <w:r>
        <w:t xml:space="preserve">8. Future roadmap</w:t>
      </w:r>
    </w:p>
    <w:tbl>
      <w:tblPr>
        <w:tblStyle w:val="Table"/>
        <w:tblW w:type="pct" w:w="5000"/>
        <w:tblLayout w:type="fixed"/>
        <w:tblLook w:firstRow="1" w:lastRow="0" w:firstColumn="0" w:lastColumn="0" w:noHBand="0" w:noVBand="0" w:val="0020"/>
        <w:jc w:val="start"/>
        <w:tblBorders>
          <w:top w:val="single" w:sz="4" w:color="BFC4D6"/>
          <w:left w:val="single" w:sz="4" w:color="BFC4D6"/>
          <w:bottom w:val="single" w:sz="4" w:color="BFC4D6"/>
          <w:right w:val="single" w:sz="4" w:color="BFC4D6"/>
          <w:insideH w:val="single" w:sz="4" w:color="BFC4D6"/>
          <w:insideV w:val="single" w:sz="4" w:color="BFC4D6"/>
        </w:tblBorders>
        <w:tblLayout w:type="fixed"/>
      </w:tblPr>
      <w:tblGrid>
        <w:gridCol w:w="1728"/>
        <w:gridCol w:w="7632"/>
      </w:tblGrid>
      <w:tr>
        <w:trPr>
          <w:tblHeader w:val="true"/>
        </w:trPr>
        <w:tc>
          <w:tcPr>
            <w:tcW w:type="dxa" w:w="1728"/>
            <w:shd w:val="clear" w:color="auto" w:fill="1E1B4B"/>
          </w:tcPr>
          <w:p>
            <w:pPr>
              <w:pStyle w:val="Compact"/>
              <w:spacing w:after="40"/>
              <w:jc w:val="left"/>
            </w:pPr>
            <w:r>
              <w:rPr>
                <w:b/>
                <w:color w:val="FFFFFF"/>
                <w:sz w:val="20"/>
              </w:rPr>
              <w:t xml:space="preserve">Phase</w:t>
            </w:r>
          </w:p>
        </w:tc>
        <w:tc>
          <w:tcPr>
            <w:tcW w:type="dxa" w:w="7632"/>
            <w:shd w:val="clear" w:color="auto" w:fill="1E1B4B"/>
          </w:tcPr>
          <w:p>
            <w:pPr>
              <w:pStyle w:val="Compact"/>
              <w:spacing w:after="40"/>
              <w:jc w:val="left"/>
            </w:pPr>
            <w:r>
              <w:rPr>
                <w:b/>
                <w:color w:val="FFFFFF"/>
                <w:sz w:val="20"/>
              </w:rPr>
              <w:t xml:space="preserve">Plan</w:t>
            </w:r>
          </w:p>
        </w:tc>
      </w:tr>
      <w:tr>
        <w:tc>
          <w:tcPr>
            <w:tcW w:type="dxa" w:w="1728"/>
          </w:tcPr>
          <w:p>
            <w:pPr>
              <w:pStyle w:val="Compact"/>
              <w:spacing w:after="40"/>
              <w:jc w:val="left"/>
            </w:pPr>
            <w:r>
              <w:rPr>
                <w:sz w:val="20"/>
              </w:rPr>
              <w:t xml:space="preserve">Now</w:t>
            </w:r>
          </w:p>
        </w:tc>
        <w:tc>
          <w:tcPr>
            <w:tcW w:type="dxa" w:w="7632"/>
          </w:tcPr>
          <w:p>
            <w:pPr>
              <w:pStyle w:val="Compact"/>
              <w:spacing w:after="40"/>
              <w:jc w:val="left"/>
            </w:pPr>
            <w:r>
              <w:rPr>
                <w:sz w:val="20"/>
              </w:rPr>
              <w:t xml:space="preserve">Complete live crawl and Playwright execution on verified domains; connect the real DNS/file ownership check</w:t>
            </w:r>
          </w:p>
        </w:tc>
      </w:tr>
      <w:tr>
        <w:tc>
          <w:tcPr>
            <w:tcW w:type="dxa" w:w="1728"/>
          </w:tcPr>
          <w:p>
            <w:pPr>
              <w:pStyle w:val="Compact"/>
              <w:spacing w:after="40"/>
              <w:jc w:val="left"/>
            </w:pPr>
            <w:r>
              <w:rPr>
                <w:sz w:val="20"/>
              </w:rPr>
              <w:t xml:space="preserve">Next</w:t>
            </w:r>
          </w:p>
        </w:tc>
        <w:tc>
          <w:tcPr>
            <w:tcW w:type="dxa" w:w="7632"/>
          </w:tcPr>
          <w:p>
            <w:pPr>
              <w:pStyle w:val="Compact"/>
              <w:spacing w:after="40"/>
              <w:jc w:val="left"/>
            </w:pPr>
            <w:r>
              <w:rPr>
                <w:sz w:val="20"/>
              </w:rPr>
              <w:t xml:space="preserve">Load and stress testing with k6; visual regression; cross-browser and mobile viewports</w:t>
            </w:r>
          </w:p>
        </w:tc>
      </w:tr>
      <w:tr>
        <w:tc>
          <w:tcPr>
            <w:tcW w:type="dxa" w:w="1728"/>
          </w:tcPr>
          <w:p>
            <w:pPr>
              <w:pStyle w:val="Compact"/>
              <w:spacing w:after="40"/>
              <w:jc w:val="left"/>
            </w:pPr>
            <w:r>
              <w:rPr>
                <w:sz w:val="20"/>
              </w:rPr>
              <w:t xml:space="preserve">Later</w:t>
            </w:r>
          </w:p>
        </w:tc>
        <w:tc>
          <w:tcPr>
            <w:tcW w:type="dxa" w:w="7632"/>
          </w:tcPr>
          <w:p>
            <w:pPr>
              <w:pStyle w:val="Compact"/>
              <w:spacing w:after="40"/>
              <w:jc w:val="left"/>
            </w:pPr>
            <w:r>
              <w:rPr>
                <w:sz w:val="20"/>
              </w:rPr>
              <w:t xml:space="preserve">Auto-created Jira and GitHub issues; scheduled nightly runs; AI exploratory agent; learning from past bugs on the same app</w:t>
            </w:r>
          </w:p>
        </w:tc>
      </w:tr>
      <w:tr>
        <w:tc>
          <w:tcPr>
            <w:tcW w:type="dxa" w:w="1728"/>
          </w:tcPr>
          <w:p>
            <w:pPr>
              <w:pStyle w:val="Compact"/>
              <w:spacing w:after="40"/>
              <w:jc w:val="left"/>
            </w:pPr>
            <w:r>
              <w:rPr>
                <w:sz w:val="20"/>
              </w:rPr>
              <w:t xml:space="preserve">Long term</w:t>
            </w:r>
          </w:p>
        </w:tc>
        <w:tc>
          <w:tcPr>
            <w:tcW w:type="dxa" w:w="7632"/>
          </w:tcPr>
          <w:p>
            <w:pPr>
              <w:pStyle w:val="Compact"/>
              <w:spacing w:after="40"/>
              <w:jc w:val="left"/>
            </w:pPr>
            <w:r>
              <w:rPr>
                <w:sz w:val="20"/>
              </w:rPr>
              <w:t xml:space="preserve">Compliance packs (OWASP Top 10, GDPR, PCI-DSS); team workspaces and billing; IDE and pull-request integrations</w:t>
            </w:r>
          </w:p>
        </w:tc>
      </w:tr>
    </w:tbl>
    <w:bookmarkEnd w:id="38"/>
    <w:bookmarkStart w:id="39" w:name="known-limitations"/>
    <w:p>
      <w:pPr>
        <w:pStyle w:val="Heading2"/>
      </w:pPr>
      <w:r>
        <w:t xml:space="preserve">9. Known limitations</w:t>
      </w:r>
    </w:p>
    <w:p>
      <w:pPr>
        <w:numPr>
          <w:ilvl w:val="0"/>
          <w:numId w:val="1008"/>
        </w:numPr>
        <w:pStyle w:val="Compact"/>
      </w:pPr>
      <w:r>
        <w:t xml:space="preserve">Automated accessibility tools find only part of all accessibility issues. Human review is still needed.</w:t>
      </w:r>
    </w:p>
    <w:p>
      <w:pPr>
        <w:numPr>
          <w:ilvl w:val="0"/>
          <w:numId w:val="1008"/>
        </w:numPr>
        <w:pStyle w:val="Compact"/>
      </w:pPr>
      <w:r>
        <w:t xml:space="preserve">AI-generated expected results and code fixes are suggestions and must be reviewed by a developer.</w:t>
      </w:r>
    </w:p>
    <w:p>
      <w:pPr>
        <w:numPr>
          <w:ilvl w:val="0"/>
          <w:numId w:val="1008"/>
        </w:numPr>
        <w:pStyle w:val="Compact"/>
      </w:pPr>
      <w:r>
        <w:t xml:space="preserve">Features marked</w:t>
      </w:r>
      <w:r>
        <w:t xml:space="preserve"> </w:t>
      </w:r>
      <w:r>
        <w:rPr>
          <w:bCs/>
          <w:b/>
        </w:rPr>
        <w:t xml:space="preserve">Demo mode</w:t>
      </w:r>
      <w:r>
        <w:t xml:space="preserve"> </w:t>
      </w:r>
      <w:r>
        <w:t xml:space="preserve">run on sample data until the backend execution engine is connected.</w:t>
      </w:r>
    </w:p>
    <w:bookmarkEnd w:id="39"/>
    <w:bookmarkStart w:id="40" w:name="team"/>
    <w:p>
      <w:pPr>
        <w:pStyle w:val="Heading2"/>
      </w:pPr>
      <w:r>
        <w:t xml:space="preserve">10. Team</w:t>
      </w:r>
    </w:p>
    <w:p>
      <w:pPr>
        <w:pStyle w:val="FirstParagraph"/>
      </w:pPr>
      <w:r>
        <w:t xml:space="preserve">TECH TRINITY: CH TEJA SAI VIGHNESH, CH RAMGOPAL, B RAHITHYA, E SWATHI REDDY</w:t>
      </w:r>
    </w:p>
    <w:bookmarkEnd w:id="40"/>
    <w:bookmarkStart w:id="41" w:name="license"/>
    <w:p>
      <w:pPr>
        <w:pStyle w:val="Heading2"/>
      </w:pPr>
      <w:r>
        <w:t xml:space="preserve">License</w:t>
      </w:r>
    </w:p>
    <w:p>
      <w:pPr>
        <w:pStyle w:val="FirstParagraph"/>
      </w:pPr>
      <w:r>
        <w:t xml:space="preserve">MIT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mbria" w:hAnsi="Cambria"/>
      <w:b/>
      <w:bCs/>
      <w:color w:val="1E1B4B"/>
      <w:sz w:val="52"/>
      <w:szCs w:val="36"/>
    </w:rPr>
  </w:style>
  <w:style w:styleId="Subtitle" w:type="paragraph">
    <w:name w:val="Subtitle"/>
    <w:basedOn w:val="Title"/>
    <w:next w:val="BodyText"/>
    <w:qFormat/>
    <w:pPr>
      <w:keepNext/>
      <w:keepLines/>
      <w:spacing w:after="240" w:before="240"/>
      <w:jc w:val="center"/>
    </w:pPr>
    <w:rPr>
      <w:rFonts w:ascii="Calibri" w:hAnsi="Calibri"/>
      <w:color w:val="4F46E5"/>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mbria" w:hAnsi="Cambria"/>
      <w:b/>
      <w:bCs/>
      <w:color w:val="1E1B4B"/>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mbria" w:hAnsi="Cambria"/>
      <w:b/>
      <w:bCs/>
      <w:color w:val="4F46E5"/>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mbria" w:hAnsi="Cambria"/>
      <w:b/>
      <w:bCs/>
      <w:color w:val="1E1B4B"/>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2026-10-28T04:41:55Z</dcterms:created>
  <dcterms:modified xsi:type="dcterms:W3CDTF">2026-10-28T04:41:55Z</dcterms:modified>
</cp:coreProperties>
</file>

<file path=docProps/custom.xml><?xml version="1.0" encoding="utf-8"?>
<Properties xmlns="http://schemas.openxmlformats.org/officeDocument/2006/custom-properties" xmlns:vt="http://schemas.openxmlformats.org/officeDocument/2006/docPropsVTypes"/>
</file>