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2591317@student.hcmute.edu.vn; 2591310@student.hcmute.edu.vn; 2591325@student.hcmute.edu.vn</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75,000-record test set, the model achieves an AUROC of 0.878, an AUPRC of 0.218, a recall of 0.843, and an F1-score of 0.200.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2591317@student.hcmute.edu.vn; 2591310@student.hcmute.edu.vn; 2591325@student.hcmute.edu.vn</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75.000 dòng, mô hình đạt AUROC 0,878, AUPRC 0,218, Recall 0,843 và F1 0,200.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 [6].</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75.000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20"/>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20"/>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m:oMath>
              <m:r>
                <m:t>risk = </m:t>
              </m:r>
              <m:f>
                <m:num>
                  <m:nary>
                    <m:naryPr>
                      <m:chr m:val="∑"/>
                      <m:limLoc m:val="undOvr"/>
                      <m:supHide m:val="1"/>
                    </m:naryPr>
                    <m:sub>
                      <m:r>
                        <m:t>y</m:t>
                      </m:r>
                    </m:sub>
                    <m:e>
                      <m:r>
                        <m:t>[μ(y)·y]</m:t>
                      </m:r>
                    </m:e>
                  </m:nary>
                </m:num>
                <m:den>
                  <m:nary>
                    <m:naryPr>
                      <m:chr m:val="∑"/>
                      <m:limLoc m:val="undOvr"/>
                      <m:supHide m:val="1"/>
                    </m:naryPr>
                    <m:sub>
                      <m:r>
                        <m:t>y</m:t>
                      </m:r>
                    </m:sub>
                    <m:e>
                      <m:r>
                        <m:t>μ(y)</m:t>
                      </m:r>
                    </m:e>
                  </m:nary>
                </m:den>
              </m:f>
            </m:oMath>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m:oMath>
              <m:sSup>
                <m:sSupPr/>
                <m:e>
                  <m:r>
                    <m:t>z</m:t>
                  </m:r>
                </m:e>
                <m:sup>
                  <m:r>
                    <m:t>(l)</m:t>
                  </m:r>
                </m:sup>
              </m:sSup>
              <m:r>
                <m:t> = </m:t>
              </m:r>
              <m:sSup>
                <m:sSupPr/>
                <m:e>
                  <m:r>
                    <m:t>W</m:t>
                  </m:r>
                </m:e>
                <m:sup>
                  <m:r>
                    <m:t>(l)</m:t>
                  </m:r>
                </m:sup>
              </m:sSup>
              <m:sSup>
                <m:sSupPr/>
                <m:e>
                  <m:r>
                    <m:t>a</m:t>
                  </m:r>
                </m:e>
                <m:sup>
                  <m:r>
                    <m:t>(l−1)</m:t>
                  </m:r>
                </m:sup>
              </m:sSup>
              <m:r>
                <m:t> + </m:t>
              </m:r>
              <m:sSup>
                <m:sSupPr/>
                <m:e>
                  <m:r>
                    <m:t>b</m:t>
                  </m:r>
                </m:e>
                <m:sup>
                  <m:r>
                    <m:t>(l)</m:t>
                  </m:r>
                </m:sup>
              </m:sSup>
              <m:r>
                <m:t>;  </m:t>
              </m:r>
              <m:sSup>
                <m:sSupPr/>
                <m:e>
                  <m:r>
                    <m:t>a</m:t>
                  </m:r>
                </m:e>
                <m:sup>
                  <m:r>
                    <m:t>(l)</m:t>
                  </m:r>
                </m:sup>
              </m:sSup>
              <m:r>
                <m:t> = ReLU</m:t>
              </m:r>
              <m:d>
                <m:dPr/>
                <m:e>
                  <m:sSup>
                    <m:sSupPr/>
                    <m:e>
                      <m:r>
                        <m:t>z</m:t>
                      </m:r>
                    </m:e>
                    <m:sup>
                      <m:r>
                        <m:t>(l)</m:t>
                      </m:r>
                    </m:sup>
                  </m:sSup>
                </m:e>
              </m:d>
            </m:oMath>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pPr>
        <w:pStyle w:val="Heading2"/>
      </w:pPr>
      <w:r>
        <w:t>2.4. Thuật toán tổng quát</w:t>
      </w:r>
    </w:p>
    <w:p>
      <w:pPr/>
      <w:r>
        <w:t>Thuật toán 1 tóm tắt liên kết đầu vào–đầu ra giữa các bước, từ nhật ký đăng nhập thô đến xác suất tấn công cuối cùng.</w:t>
      </w:r>
    </w:p>
    <w:p>
      <w:pPr>
        <w:ind w:firstLine="0" w:left="280"/>
        <w:shd w:val="clear" w:color="auto" w:fill="F2F2F2"/>
      </w:pPr>
      <w:r>
        <w:rPr>
          <w:rFonts w:ascii="Consolas" w:hAnsi="Consolas"/>
          <w:sz w:val="18"/>
        </w:rPr>
        <w:t>Thuật toán 1  RBA-RiskScore(nhật ký đăng nhập L)</w:t>
        <w:br/>
      </w:r>
      <w:r>
        <w:rPr>
          <w:rFonts w:ascii="Consolas" w:hAnsi="Consolas"/>
          <w:sz w:val="18"/>
        </w:rPr>
        <w:t>Đầu vào : L = {user_id, timestamp, country, asn, device, os, browser,</w:t>
        <w:br/>
      </w:r>
      <w:r>
        <w:rPr>
          <w:rFonts w:ascii="Consolas" w:hAnsi="Consolas"/>
          <w:sz w:val="18"/>
        </w:rPr>
        <w:t xml:space="preserve">          login_successful, round_trip_time, ...}</w:t>
        <w:br/>
      </w:r>
      <w:r>
        <w:rPr>
          <w:rFonts w:ascii="Consolas" w:hAnsi="Consolas"/>
          <w:sz w:val="18"/>
        </w:rPr>
        <w:t>Đầu ra  : xác suất tấn công ŷ ∈ [0, 1]</w:t>
        <w:br/>
      </w:r>
      <w:r>
        <w:rPr>
          <w:rFonts w:ascii="Consolas" w:hAnsi="Consolas"/>
          <w:sz w:val="18"/>
        </w:rPr>
        <w:t xml:space="preserve"> </w:t>
        <w:br/>
      </w:r>
      <w:r>
        <w:rPr>
          <w:rFonts w:ascii="Consolas" w:hAnsi="Consolas"/>
          <w:sz w:val="18"/>
        </w:rPr>
        <w:t>Bước A. TRÍCH XUẤT ĐẶC TRƯNG(L) → F</w:t>
        <w:br/>
      </w:r>
      <w:r>
        <w:rPr>
          <w:rFonts w:ascii="Consolas" w:hAnsi="Consolas"/>
          <w:sz w:val="18"/>
        </w:rPr>
        <w:t xml:space="preserve">  F.thời_gian ← hour_of_day, day_of_week, is_odd_hour</w:t>
        <w:br/>
      </w:r>
      <w:r>
        <w:rPr>
          <w:rFonts w:ascii="Consolas" w:hAnsi="Consolas"/>
          <w:sz w:val="18"/>
        </w:rPr>
        <w:t xml:space="preserve">  F.độ_hiếm   ← country_rarity, asn_rarity (tần suất toàn cục, fit trên train)</w:t>
        <w:br/>
      </w:r>
      <w:r>
        <w:rPr>
          <w:rFonts w:ascii="Consolas" w:hAnsi="Consolas"/>
          <w:sz w:val="18"/>
        </w:rPr>
        <w:t xml:space="preserve">  F.lịch_sử   ← is_new_country/asn/device/os, time_since_last_login_h,</w:t>
        <w:br/>
      </w:r>
      <w:r>
        <w:rPr>
          <w:rFonts w:ascii="Consolas" w:hAnsi="Consolas"/>
          <w:sz w:val="18"/>
        </w:rPr>
        <w:t xml:space="preserve">                user_success_rate_so_far, num_changes</w:t>
        <w:br/>
      </w:r>
      <w:r>
        <w:rPr>
          <w:rFonts w:ascii="Consolas" w:hAnsi="Consolas"/>
          <w:sz w:val="18"/>
        </w:rPr>
        <w:t xml:space="preserve">                (chỉ dùng sự kiện TRƯỚC thời điểm hiện tại của user)</w:t>
        <w:br/>
      </w:r>
      <w:r>
        <w:rPr>
          <w:rFonts w:ascii="Consolas" w:hAnsi="Consolas"/>
          <w:sz w:val="18"/>
        </w:rPr>
        <w:t xml:space="preserve"> </w:t>
        <w:br/>
      </w:r>
      <w:r>
        <w:rPr>
          <w:rFonts w:ascii="Consolas" w:hAnsi="Consolas"/>
          <w:sz w:val="18"/>
        </w:rPr>
        <w:t>Bước B. SUY DIỄN MỜ MAMDANI(F) → Z</w:t>
        <w:br/>
      </w:r>
      <w:r>
        <w:rPr>
          <w:rFonts w:ascii="Consolas" w:hAnsi="Consolas"/>
          <w:sz w:val="18"/>
        </w:rPr>
        <w:t xml:space="preserve">  với mỗi biến liên tục v ∈ {gap, country_rarity, asn_rarity,</w:t>
        <w:br/>
      </w:r>
      <w:r>
        <w:rPr>
          <w:rFonts w:ascii="Consolas" w:hAnsi="Consolas"/>
          <w:sz w:val="18"/>
        </w:rPr>
        <w:t xml:space="preserve">                              success_rate, num_changes}:</w:t>
        <w:br/>
      </w:r>
      <w:r>
        <w:rPr>
          <w:rFonts w:ascii="Consolas" w:hAnsi="Consolas"/>
          <w:sz w:val="18"/>
        </w:rPr>
        <w:t xml:space="preserve">        (low, med, high) ← MỜ_HÓA(v, ngưỡng percentile p20/p50/p80 trên train)</w:t>
        <w:br/>
      </w:r>
      <w:r>
        <w:rPr>
          <w:rFonts w:ascii="Consolas" w:hAnsi="Consolas"/>
          <w:sz w:val="18"/>
        </w:rPr>
        <w:t xml:space="preserve">  với mỗi luật Ri trong 8 luật IF-THEN (AND = min, OR = max):</w:t>
        <w:br/>
      </w:r>
      <w:r>
        <w:rPr>
          <w:rFonts w:ascii="Consolas" w:hAnsi="Consolas"/>
          <w:sz w:val="18"/>
        </w:rPr>
        <w:t xml:space="preserve">        firing_i ← ĐÁNH_GIÁ(Ri, low, med, high)</w:t>
        <w:br/>
      </w:r>
      <w:r>
        <w:rPr>
          <w:rFonts w:ascii="Consolas" w:hAnsi="Consolas"/>
          <w:sz w:val="18"/>
        </w:rPr>
        <w:t xml:space="preserve">  agg ← GỘP(firing_1..8, tập mờ ra Low/Medium/High)      { toán tử max }</w:t>
        <w:br/>
      </w:r>
      <w:r>
        <w:rPr>
          <w:rFonts w:ascii="Consolas" w:hAnsi="Consolas"/>
          <w:sz w:val="18"/>
        </w:rPr>
        <w:t xml:space="preserve">  Z.mamdani_risk_score ← GIẢI_MỜ(agg)                     { phương pháp centroid }</w:t>
        <w:br/>
      </w:r>
      <w:r>
        <w:rPr>
          <w:rFonts w:ascii="Consolas" w:hAnsi="Consolas"/>
          <w:sz w:val="18"/>
        </w:rPr>
        <w:t xml:space="preserve">  Z.fz_* ← toàn bộ 15 giá trị độ thuộc</w:t>
        <w:br/>
      </w:r>
      <w:r>
        <w:rPr>
          <w:rFonts w:ascii="Consolas" w:hAnsi="Consolas"/>
          <w:sz w:val="18"/>
        </w:rPr>
        <w:t xml:space="preserve"> </w:t>
        <w:br/>
      </w:r>
      <w:r>
        <w:rPr>
          <w:rFonts w:ascii="Consolas" w:hAnsi="Consolas"/>
          <w:sz w:val="18"/>
        </w:rPr>
        <w:t>Bước C. TIỀN XỬ LÝ(F, Z) → X</w:t>
        <w:br/>
      </w:r>
      <w:r>
        <w:rPr>
          <w:rFonts w:ascii="Consolas" w:hAnsi="Consolas"/>
          <w:sz w:val="18"/>
        </w:rPr>
        <w:t xml:space="preserve">  chia(L) → train / val / test (70/15/15, phân tầng theo nhãn)</w:t>
        <w:br/>
      </w:r>
      <w:r>
        <w:rPr>
          <w:rFonts w:ascii="Consolas" w:hAnsi="Consolas"/>
          <w:sz w:val="18"/>
        </w:rPr>
        <w:t xml:space="preserve">  scaler ← fit StandardScaler(F.số | train)</w:t>
        <w:br/>
      </w:r>
      <w:r>
        <w:rPr>
          <w:rFonts w:ascii="Consolas" w:hAnsi="Consolas"/>
          <w:sz w:val="18"/>
        </w:rPr>
        <w:t xml:space="preserve">  ohe    ← fit OneHotEncoder(F.loại_thiết_bị | train)</w:t>
        <w:br/>
      </w:r>
      <w:r>
        <w:rPr>
          <w:rFonts w:ascii="Consolas" w:hAnsi="Consolas"/>
          <w:sz w:val="18"/>
        </w:rPr>
        <w:t xml:space="preserve">  fis    ← fit MamdaniFuzzyRiskSystem(F | train)</w:t>
        <w:br/>
      </w:r>
      <w:r>
        <w:rPr>
          <w:rFonts w:ascii="Consolas" w:hAnsi="Consolas"/>
          <w:sz w:val="18"/>
        </w:rPr>
        <w:t xml:space="preserve">  X ← ghép(scaler.transform(F.số), ohe.transform(F.loại_thiết_bị), fis.transform(F))</w:t>
        <w:br/>
      </w:r>
      <w:r>
        <w:rPr>
          <w:rFonts w:ascii="Consolas" w:hAnsi="Consolas"/>
          <w:sz w:val="18"/>
        </w:rPr>
        <w:t xml:space="preserve"> </w:t>
        <w:br/>
      </w:r>
      <w:r>
        <w:rPr>
          <w:rFonts w:ascii="Consolas" w:hAnsi="Consolas"/>
          <w:sz w:val="18"/>
        </w:rPr>
        <w:t>Bước D. LAN TRUYỀN XUÔI MLP(X) → ŷ</w:t>
        <w:br/>
      </w:r>
      <w:r>
        <w:rPr>
          <w:rFonts w:ascii="Consolas" w:hAnsi="Consolas"/>
          <w:sz w:val="18"/>
        </w:rPr>
        <w:t xml:space="preserve">  h ← X</w:t>
        <w:br/>
      </w:r>
      <w:r>
        <w:rPr>
          <w:rFonts w:ascii="Consolas" w:hAnsi="Consolas"/>
          <w:sz w:val="18"/>
        </w:rPr>
        <w:t xml:space="preserve">  với mỗi chiều_ẩn ∈ (128, 64, 32):</w:t>
        <w:br/>
      </w:r>
      <w:r>
        <w:rPr>
          <w:rFonts w:ascii="Consolas" w:hAnsi="Consolas"/>
          <w:sz w:val="18"/>
        </w:rPr>
        <w:t xml:space="preserve">        h ← Dropout(BatchNorm(ReLU(Linear(h, chiều_ẩn))))</w:t>
        <w:br/>
      </w:r>
      <w:r>
        <w:rPr>
          <w:rFonts w:ascii="Consolas" w:hAnsi="Consolas"/>
          <w:sz w:val="18"/>
        </w:rPr>
        <w:t xml:space="preserve">  logit ← Linear(h, 1)</w:t>
        <w:br/>
      </w:r>
      <w:r>
        <w:rPr>
          <w:rFonts w:ascii="Consolas" w:hAnsi="Consolas"/>
          <w:sz w:val="18"/>
        </w:rPr>
        <w:t xml:space="preserve">  ŷ ← sigmoid(logit)                                       { xác suất tấn công }</w:t>
        <w:br/>
      </w:r>
      <w:r>
        <w:rPr>
          <w:rFonts w:ascii="Consolas" w:hAnsi="Consolas"/>
          <w:sz w:val="18"/>
        </w:rPr>
        <w:t xml:space="preserve"> </w:t>
        <w:br/>
      </w:r>
      <w:r>
        <w:rPr>
          <w:rFonts w:ascii="Consolas" w:hAnsi="Consolas"/>
          <w:sz w:val="18"/>
        </w:rPr>
        <w:t>Bước E. HUẤN LUYỆN (chỉ ở pha huấn luyện)</w:t>
        <w:br/>
      </w:r>
      <w:r>
        <w:rPr>
          <w:rFonts w:ascii="Consolas" w:hAnsi="Consolas"/>
          <w:sz w:val="18"/>
        </w:rPr>
        <w:t xml:space="preserve">  loss ← BCEWithLogits(logit, y_thật; pos_weight = n_âm/n_dương)</w:t>
        <w:br/>
      </w:r>
      <w:r>
        <w:rPr>
          <w:rFonts w:ascii="Consolas" w:hAnsi="Consolas"/>
          <w:sz w:val="18"/>
        </w:rPr>
        <w:t xml:space="preserve">  ∇θ ← Lan_truyền_ngược(loss)</w:t>
        <w:br/>
      </w:r>
      <w:r>
        <w:rPr>
          <w:rFonts w:ascii="Consolas" w:hAnsi="Consolas"/>
          <w:sz w:val="18"/>
        </w:rPr>
        <w:t xml:space="preserve">  θ ← θ − Adam(∇θ, lr = 1e-3, weight_decay = 1e-5)</w:t>
        <w:br/>
      </w:r>
      <w:r>
        <w:rPr>
          <w:rFonts w:ascii="Consolas" w:hAnsi="Consolas"/>
          <w:sz w:val="18"/>
        </w:rPr>
        <w:t xml:space="preserve">  lặp theo mini-batch (4096 mẫu) × tối đa 30 epoch</w:t>
        <w:br/>
      </w:r>
      <w:r>
        <w:rPr>
          <w:rFonts w:ascii="Consolas" w:hAnsi="Consolas"/>
          <w:sz w:val="18"/>
        </w:rPr>
        <w:t xml:space="preserve">  dừng sớm nếu val_AUPRC không cải thiện sau 5 epoch</w:t>
        <w:br/>
      </w:r>
      <w:r>
        <w:rPr>
          <w:rFonts w:ascii="Consolas" w:hAnsi="Consolas"/>
          <w:sz w:val="18"/>
        </w:rPr>
        <w:t xml:space="preserve"> </w:t>
        <w:br/>
      </w:r>
      <w:r>
        <w:rPr>
          <w:rFonts w:ascii="Consolas" w:hAnsi="Consolas"/>
          <w:sz w:val="18"/>
        </w:rPr>
        <w:t>Trả về ŷ = xác suất tấn công</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75.000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000000">
      <w:pPr>
        <w:pStyle w:val="JTECaption"/>
        <w:jc w:val="right"/>
      </w:pPr>
      <w:r>
        <w:rPr>
          <w:b/>
        </w:rPr>
        <w:t xml:space="preserve">Bảng 2. </w:t>
      </w:r>
      <w:r>
        <w:rPr>
          <w:i/>
        </w:rPr>
        <w:t>Kết quả của mô hình lai trên tập kiểm tra 75.000 bản ghi</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20"/>
              </w:rPr>
              <w:t>0,878</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20"/>
              </w:rPr>
              <w:t>0,218</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20"/>
              </w:rPr>
              <w:t>0,793</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20"/>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20"/>
              </w:rPr>
              <w:t>0,113</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20"/>
              </w:rPr>
              <w:t>Khoảng 11,3%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20"/>
              </w:rPr>
              <w:t>0,843</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20"/>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20"/>
              </w:rPr>
              <w:t>0,200</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0,843 nhưng Precision chỉ 0,113. Đây là đánh đổi có chủ đích trong kịch bản RBA: bỏ sót tấn công có thể gây hậu quả nghiêm trọng, trong khi báo động giả chủ yếu dẫn đến yêu cầu xác thực bổ sung. Ma trận nhầm lẫn ghi nhận 1.935 true positive, 361 false negative, 15.141 false positive và 57.563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0,218 có ý nghĩa hơn Accuracy 0,793 đối với dữ liệu lệch lớp. So với baseline ngẫu nhiên xấp xỉ tỷ lệ dương 0,03, AUPRC tăng hơn bảy lần, cho thấy mô hình thực sự xếp hạng các mẫu tấn công tốt hơn ngẫu nhiên. AUROC 0,878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0,844 có thể nâng Precision lên khoảng 28,9%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pPr>
        <w:pStyle w:val="Heading2"/>
      </w:pPr>
      <w:r>
        <w:t>3.3. Ablation study</w:t>
      </w:r>
    </w:p>
    <w:p>
      <w:pPr/>
      <w:r>
        <w:t>Để kiểm chứng đóng góp thực sự của nhánh Mamdani FIS, nhóm huấn luyện lại cùng kiến trúc MLP, cùng cách chia tập train/val/test và cùng seed, nhưng loại bỏ toàn bộ 16 đặc trưng mờ (15 mức độ thuộc và mamdani_risk_score) khỏi đầu vào. Nếu biến thể có đặc trưng mờ vượt trội, đó là bằng chứng cho thấy nhánh Mamdani mang lại tín hiệu mà MLP không tự trích xuất được tốt bằng chỉ từ đặc trưng số thô.</w:t>
      </w:r>
    </w:p>
    <w:p>
      <w:pPr>
        <w:pStyle w:val="JTECaption"/>
        <w:jc w:val="right"/>
      </w:pPr>
      <w:r>
        <w:rPr>
          <w:b/>
        </w:rPr>
        <w:t xml:space="preserve">Bảng 3. </w:t>
      </w:r>
      <w:r>
        <w:rPr>
          <w:i/>
        </w:rPr>
        <w:t>So sánh MLP không có đặc trưng mờ và MLP có đặc trưng mờ (Mamdani FIS)</w:t>
      </w:r>
    </w:p>
    <w:tbl>
      <w:tblPr>
        <w:tblW w:type="dxa" w:w="9071"/>
        <w:tblLook w:firstColumn="1" w:firstRow="1" w:lastColumn="0" w:lastRow="0" w:noHBand="0" w:noVBand="1" w:val="04A0"/>
        <w:tblLayout w:type="fixed"/>
        <w:tblBorders>
          <w:top w:val="single" w:sz="4" w:space="0" w:color="000000"/>
          <w:bottom w:val="single" w:sz="4" w:space="0" w:color="000000"/>
          <w:insideH w:val="single" w:sz="4" w:space="0" w:color="000000"/>
          <w:left w:val="nil"/>
          <w:right w:val="nil"/>
          <w:insideV w:val="nil"/>
        </w:tblBorders>
      </w:tblPr>
      <w:tblGrid>
        <w:gridCol w:w="2268"/>
        <w:gridCol w:w="2268"/>
        <w:gridCol w:w="2268"/>
        <w:gridCol w:w="2268"/>
      </w:tblGrid>
      <w:tr>
        <w:tc>
          <w:tcPr>
            <w:tcW w:type="dxa" w:w="2268"/>
          </w:tcPr>
          <w:p>
            <w:pPr>
              <w:jc w:val="center"/>
            </w:pPr>
            <w:r>
              <w:rPr>
                <w:b/>
                <w:sz w:val="20"/>
              </w:rPr>
              <w:t>Chỉ số</w:t>
            </w:r>
          </w:p>
        </w:tc>
        <w:tc>
          <w:tcPr>
            <w:tcW w:type="dxa" w:w="2268"/>
          </w:tcPr>
          <w:p>
            <w:pPr>
              <w:jc w:val="center"/>
            </w:pPr>
            <w:r>
              <w:rPr>
                <w:b/>
                <w:sz w:val="20"/>
              </w:rPr>
              <w:t>MLP không Fuzzy</w:t>
            </w:r>
          </w:p>
        </w:tc>
        <w:tc>
          <w:tcPr>
            <w:tcW w:type="dxa" w:w="2268"/>
          </w:tcPr>
          <w:p>
            <w:pPr>
              <w:jc w:val="center"/>
            </w:pPr>
            <w:r>
              <w:rPr>
                <w:b/>
                <w:sz w:val="20"/>
              </w:rPr>
              <w:t>MLP + Mamdani FIS</w:t>
            </w:r>
          </w:p>
        </w:tc>
        <w:tc>
          <w:tcPr>
            <w:tcW w:type="dxa" w:w="2268"/>
          </w:tcPr>
          <w:p>
            <w:pPr>
              <w:jc w:val="center"/>
            </w:pPr>
            <w:r>
              <w:rPr>
                <w:b/>
                <w:sz w:val="20"/>
              </w:rPr>
              <w:t>Chênh lệch</w:t>
            </w:r>
          </w:p>
        </w:tc>
      </w:tr>
      <w:tr>
        <w:tc>
          <w:tcPr>
            <w:tcW w:type="dxa" w:w="2268"/>
          </w:tcPr>
          <w:p>
            <w:pPr>
              <w:jc w:val="left"/>
            </w:pPr>
            <w:r>
              <w:rPr>
                <w:sz w:val="20"/>
              </w:rPr>
              <w:t>AUROC</w:t>
            </w:r>
          </w:p>
        </w:tc>
        <w:tc>
          <w:tcPr>
            <w:tcW w:type="dxa" w:w="2268"/>
          </w:tcPr>
          <w:p>
            <w:pPr>
              <w:jc w:val="center"/>
            </w:pPr>
            <w:r>
              <w:rPr>
                <w:sz w:val="20"/>
              </w:rPr>
              <w:t>0,8454</w:t>
            </w:r>
          </w:p>
        </w:tc>
        <w:tc>
          <w:tcPr>
            <w:tcW w:type="dxa" w:w="2268"/>
          </w:tcPr>
          <w:p>
            <w:pPr>
              <w:jc w:val="center"/>
            </w:pPr>
            <w:r>
              <w:rPr>
                <w:sz w:val="20"/>
              </w:rPr>
              <w:t>0,8664</w:t>
            </w:r>
          </w:p>
        </w:tc>
        <w:tc>
          <w:tcPr>
            <w:tcW w:type="dxa" w:w="2268"/>
          </w:tcPr>
          <w:p>
            <w:pPr>
              <w:jc w:val="center"/>
            </w:pPr>
            <w:r>
              <w:rPr>
                <w:sz w:val="20"/>
              </w:rPr>
              <w:t>+0,0210</w:t>
            </w:r>
          </w:p>
        </w:tc>
      </w:tr>
      <w:tr>
        <w:tc>
          <w:tcPr>
            <w:tcW w:type="dxa" w:w="2268"/>
          </w:tcPr>
          <w:p>
            <w:pPr>
              <w:jc w:val="left"/>
            </w:pPr>
            <w:r>
              <w:rPr>
                <w:sz w:val="20"/>
              </w:rPr>
              <w:t>AUPRC</w:t>
            </w:r>
          </w:p>
        </w:tc>
        <w:tc>
          <w:tcPr>
            <w:tcW w:type="dxa" w:w="2268"/>
          </w:tcPr>
          <w:p>
            <w:pPr>
              <w:jc w:val="center"/>
            </w:pPr>
            <w:r>
              <w:rPr>
                <w:sz w:val="20"/>
              </w:rPr>
              <w:t>0,1480</w:t>
            </w:r>
          </w:p>
        </w:tc>
        <w:tc>
          <w:tcPr>
            <w:tcW w:type="dxa" w:w="2268"/>
          </w:tcPr>
          <w:p>
            <w:pPr>
              <w:jc w:val="center"/>
            </w:pPr>
            <w:r>
              <w:rPr>
                <w:sz w:val="20"/>
              </w:rPr>
              <w:t>0,2226</w:t>
            </w:r>
          </w:p>
        </w:tc>
        <w:tc>
          <w:tcPr>
            <w:tcW w:type="dxa" w:w="2268"/>
          </w:tcPr>
          <w:p>
            <w:pPr>
              <w:jc w:val="center"/>
            </w:pPr>
            <w:r>
              <w:rPr>
                <w:sz w:val="20"/>
              </w:rPr>
              <w:t>+0,0747</w:t>
            </w:r>
          </w:p>
        </w:tc>
      </w:tr>
      <w:tr>
        <w:tc>
          <w:tcPr>
            <w:tcW w:type="dxa" w:w="2268"/>
          </w:tcPr>
          <w:p>
            <w:pPr>
              <w:jc w:val="left"/>
            </w:pPr>
            <w:r>
              <w:rPr>
                <w:sz w:val="20"/>
              </w:rPr>
              <w:t>Accuracy</w:t>
            </w:r>
          </w:p>
        </w:tc>
        <w:tc>
          <w:tcPr>
            <w:tcW w:type="dxa" w:w="2268"/>
          </w:tcPr>
          <w:p>
            <w:pPr>
              <w:jc w:val="center"/>
            </w:pPr>
            <w:r>
              <w:rPr>
                <w:sz w:val="20"/>
              </w:rPr>
              <w:t>0,7614</w:t>
            </w:r>
          </w:p>
        </w:tc>
        <w:tc>
          <w:tcPr>
            <w:tcW w:type="dxa" w:w="2268"/>
          </w:tcPr>
          <w:p>
            <w:pPr>
              <w:jc w:val="center"/>
            </w:pPr>
            <w:r>
              <w:rPr>
                <w:sz w:val="20"/>
              </w:rPr>
              <w:t>0,7540</w:t>
            </w:r>
          </w:p>
        </w:tc>
        <w:tc>
          <w:tcPr>
            <w:tcW w:type="dxa" w:w="2268"/>
          </w:tcPr>
          <w:p>
            <w:pPr>
              <w:jc w:val="center"/>
            </w:pPr>
            <w:r>
              <w:rPr>
                <w:sz w:val="20"/>
              </w:rPr>
              <w:t>−0,0074</w:t>
            </w:r>
          </w:p>
        </w:tc>
      </w:tr>
      <w:tr>
        <w:tc>
          <w:tcPr>
            <w:tcW w:type="dxa" w:w="2268"/>
          </w:tcPr>
          <w:p>
            <w:pPr>
              <w:jc w:val="left"/>
            </w:pPr>
            <w:r>
              <w:rPr>
                <w:sz w:val="20"/>
              </w:rPr>
              <w:t>Precision</w:t>
            </w:r>
          </w:p>
        </w:tc>
        <w:tc>
          <w:tcPr>
            <w:tcW w:type="dxa" w:w="2268"/>
          </w:tcPr>
          <w:p>
            <w:pPr>
              <w:jc w:val="center"/>
            </w:pPr>
            <w:r>
              <w:rPr>
                <w:sz w:val="20"/>
              </w:rPr>
              <w:t>0,0988</w:t>
            </w:r>
          </w:p>
        </w:tc>
        <w:tc>
          <w:tcPr>
            <w:tcW w:type="dxa" w:w="2268"/>
          </w:tcPr>
          <w:p>
            <w:pPr>
              <w:jc w:val="center"/>
            </w:pPr>
            <w:r>
              <w:rPr>
                <w:sz w:val="20"/>
              </w:rPr>
              <w:t>0,0986</w:t>
            </w:r>
          </w:p>
        </w:tc>
        <w:tc>
          <w:tcPr>
            <w:tcW w:type="dxa" w:w="2268"/>
          </w:tcPr>
          <w:p>
            <w:pPr>
              <w:jc w:val="center"/>
            </w:pPr>
            <w:r>
              <w:rPr>
                <w:sz w:val="20"/>
              </w:rPr>
              <w:t>−0,0002</w:t>
            </w:r>
          </w:p>
        </w:tc>
      </w:tr>
      <w:tr>
        <w:tc>
          <w:tcPr>
            <w:tcW w:type="dxa" w:w="2268"/>
          </w:tcPr>
          <w:p>
            <w:pPr>
              <w:jc w:val="left"/>
            </w:pPr>
            <w:r>
              <w:rPr>
                <w:sz w:val="20"/>
              </w:rPr>
              <w:t>Recall</w:t>
            </w:r>
          </w:p>
        </w:tc>
        <w:tc>
          <w:tcPr>
            <w:tcW w:type="dxa" w:w="2268"/>
          </w:tcPr>
          <w:p>
            <w:pPr>
              <w:jc w:val="center"/>
            </w:pPr>
            <w:r>
              <w:rPr>
                <w:sz w:val="20"/>
              </w:rPr>
              <w:t>0,8225</w:t>
            </w:r>
          </w:p>
        </w:tc>
        <w:tc>
          <w:tcPr>
            <w:tcW w:type="dxa" w:w="2268"/>
          </w:tcPr>
          <w:p>
            <w:pPr>
              <w:jc w:val="center"/>
            </w:pPr>
            <w:r>
              <w:rPr>
                <w:sz w:val="20"/>
              </w:rPr>
              <w:t>0,8494</w:t>
            </w:r>
          </w:p>
        </w:tc>
        <w:tc>
          <w:tcPr>
            <w:tcW w:type="dxa" w:w="2268"/>
          </w:tcPr>
          <w:p>
            <w:pPr>
              <w:jc w:val="center"/>
            </w:pPr>
            <w:r>
              <w:rPr>
                <w:sz w:val="20"/>
              </w:rPr>
              <w:t>+0,0270</w:t>
            </w:r>
          </w:p>
        </w:tc>
      </w:tr>
      <w:tr>
        <w:tc>
          <w:tcPr>
            <w:tcW w:type="dxa" w:w="2268"/>
          </w:tcPr>
          <w:p>
            <w:pPr>
              <w:jc w:val="left"/>
            </w:pPr>
            <w:r>
              <w:rPr>
                <w:sz w:val="20"/>
              </w:rPr>
              <w:t>F1</w:t>
            </w:r>
          </w:p>
        </w:tc>
        <w:tc>
          <w:tcPr>
            <w:tcW w:type="dxa" w:w="2268"/>
          </w:tcPr>
          <w:p>
            <w:pPr>
              <w:jc w:val="center"/>
            </w:pPr>
            <w:r>
              <w:rPr>
                <w:sz w:val="20"/>
              </w:rPr>
              <w:t>0,1763</w:t>
            </w:r>
          </w:p>
        </w:tc>
        <w:tc>
          <w:tcPr>
            <w:tcW w:type="dxa" w:w="2268"/>
          </w:tcPr>
          <w:p>
            <w:pPr>
              <w:jc w:val="center"/>
            </w:pPr>
            <w:r>
              <w:rPr>
                <w:sz w:val="20"/>
              </w:rPr>
              <w:t>0,1766</w:t>
            </w:r>
          </w:p>
        </w:tc>
        <w:tc>
          <w:tcPr>
            <w:tcW w:type="dxa" w:w="2268"/>
          </w:tcPr>
          <w:p>
            <w:pPr>
              <w:jc w:val="center"/>
            </w:pPr>
            <w:r>
              <w:rPr>
                <w:sz w:val="20"/>
              </w:rPr>
              <w:t>+0,0003</w:t>
            </w:r>
          </w:p>
        </w:tc>
      </w:tr>
    </w:tbl>
    <w:p>
      <w:pPr/>
      <w:r>
        <w:t>Kết quả cho thấy nhánh Mamdani FIS mang lại cải thiện nhất quán nhưng khiêm tốn trên hầu hết chỉ số quan trọng, rõ nhất ở Recall (+0,0270) và AUPRC (+0,0747). Điều này hợp lý vì các đặc trưng mờ về bản chất là hàm phi tuyến tường minh của cùng những biến thô mà MLP đã có sẵn trong đầu vào; MLP có thể tự học một phần các quan hệ phi tuyến này, nhưng việc mã hoá sẵn tri thức chuyên gia qua 8 luật IF-THEN giúp mô hình hội tụ tới tín hiệu rủi ro rõ ràng hơn, đặc biệt cải thiện khả năng phát hiện tấn công (Recall) — chỉ số quan trọng nhất trong bài toán RBA.</w:t>
      </w:r>
    </w:p>
    <w:p>
      <w:pPr/>
      <w:r>
        <w:rPr>
          <w:i/>
          <w:sz w:val="20"/>
        </w:rPr>
        <w:t>Lưu ý: thực nghiệm ablation được chạy trên một mẫu con của bộ dữ liệu (khoảng 246.600 dòng) để phù hợp tài nguyên tính toán trên Google Colab, không phải toàn bộ 500.000 dòng dùng cho kết quả chính thức ở Bảng 2; xu hướng cải thiện vẫn nhất quán nhưng số tuyệt đối có thể chênh lệch nhẹ nếu chạy lại trên toàn bộ dữ liệu.</w:t>
      </w:r>
    </w:p>
    <w:p w14:paraId="550C76F2" w14:textId="77777777" w:rsidR="00FB7DEA" w:rsidRDefault="00000000">
      <w:pPr>
        <w:pStyle w:val="Heading2"/>
      </w:pPr>
      <w:r>
        <w:rPr>
          <w:rFonts w:eastAsia="Times New Roman"/>
        </w:rPr>
        <w:t>3.4.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khoảng 500.000 bản ghi. Hệ mờ chuyển tri thức chuyên gia thành 16 đặc trưng có khả năng giải thích và một điểm rủi ro tổng hợp; MLP ba tầng ẩn học quan hệ phi tuyến để phân loại cuối cùng. Trên tập kiểm tra 75.000 dòng, mô hình đạt AUROC 0,878, AUPRC 0,218 và Recall 0,843,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[8];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7956060" w14:textId="77777777" w:rsidR="00FB7DEA" w:rsidRPr="00E25B74" w:rsidRDefault="00000000">
      <w:pPr>
        <w:pStyle w:val="JTEReference"/>
        <w:rPr>
          <w:lang w:val="en-US"/>
        </w:rPr>
      </w:pPr>
      <w:r>
        <w:rPr/>
        <w:t>[6] D. Freeman, S. Jain, M. Dürmuth, B. Biggio, and G. Giacinto, “Who Are You? A Statistical Approach to Measuring User Authenticity,” in Proc. Netw. Distrib. Syst. Secur. Symp. (NDSS), 2016, doi: 10.14722/ndss.2016.23240.</w:t>
      </w:r>
    </w:p>
    <w:p w14:paraId="47956060" w14:textId="77777777" w:rsidR="00FB7DEA" w:rsidRPr="00E25B74" w:rsidRDefault="00000000">
      <w:pPr>
        <w:pStyle w:val="JTEReference"/>
        <w:rPr>
          <w:lang w:val="en-US"/>
        </w:rPr>
      </w:pPr>
      <w:r>
        <w:rPr/>
        <w:t>[7] T. Saito and M. Rehmsmeier, “The Precision-Recall Plot Is More Informative than the ROC Plot When Evaluating Binary Classifiers on Imbalanced Datasets,” PLOS ONE, vol. 10, no. 3, e0118432, 2015, doi: 10.1371/journal.pone.0118432.</w:t>
      </w:r>
    </w:p>
    <w:p w14:paraId="47956060" w14:textId="77777777" w:rsidR="00FB7DEA" w:rsidRPr="00E25B74" w:rsidRDefault="00000000">
      <w:pPr>
        <w:pStyle w:val="JTEReference"/>
        <w:rPr>
          <w:lang w:val="en-US"/>
        </w:rPr>
      </w:pPr>
      <w:r>
        <w:rPr/>
        <w:t>[8] J.-S. R. Jang, “ANFIS: Adaptive-Network-Based Fuzzy Inference System,” IEEE Trans. Syst., Man, Cybern., vol. 23, no. 3, pp. 665-685, 1993, doi: 10.1109/21.256541.</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