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held-out test set of 75,000 logins, the model achieves an AUROC of 0.877, an AUPRC of 0.216, a recall of 0.843, and an F1-score of 0.201.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0,877, AUPRC 0,216, Recall 0,843 và F1 0,201.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pPr>
        <w:pStyle w:val="Heading2"/>
      </w:pPr>
      <w:r>
        <w:t>2.4. Thuật toán tổng quát</w:t>
      </w:r>
    </w:p>
    <w:p>
      <w:pPr/>
      <w:r>
        <w:t>Thuật toán 1 tóm tắt liên kết đầu vào–đầu ra giữa các bước, từ nhật ký đăng nhập thô đến xác suất tấn công cuối cùng.</w:t>
      </w:r>
    </w:p>
    <w:p>
      <w:pPr>
        <w:ind w:firstLine="0" w:left="280"/>
        <w:shd w:val="clear" w:color="auto" w:fill="F2F2F2"/>
      </w:pPr>
      <w:r>
        <w:rPr>
          <w:rFonts w:ascii="Consolas" w:hAnsi="Consolas"/>
          <w:sz w:val="18"/>
        </w:rPr>
        <w:t>Thuật toán 1  RBA-RiskScore(nhật ký đăng nhập L)</w:t>
        <w:br/>
      </w:r>
      <w:r>
        <w:rPr>
          <w:rFonts w:ascii="Consolas" w:hAnsi="Consolas"/>
          <w:sz w:val="18"/>
        </w:rPr>
        <w:t>Đầu vào : L = {user_id, timestamp, country, asn, device, os, browser,</w:t>
        <w:br/>
      </w:r>
      <w:r>
        <w:rPr>
          <w:rFonts w:ascii="Consolas" w:hAnsi="Consolas"/>
          <w:sz w:val="18"/>
        </w:rPr>
        <w:t xml:space="preserve">          login_successful, round_trip_time, ...}</w:t>
        <w:br/>
      </w:r>
      <w:r>
        <w:rPr>
          <w:rFonts w:ascii="Consolas" w:hAnsi="Consolas"/>
          <w:sz w:val="18"/>
        </w:rPr>
        <w:t>Đầu ra  : xác suất tấn công ŷ ∈ [0, 1]</w:t>
        <w:br/>
      </w:r>
      <w:r>
        <w:rPr>
          <w:rFonts w:ascii="Consolas" w:hAnsi="Consolas"/>
          <w:sz w:val="18"/>
        </w:rPr>
        <w:t xml:space="preserve"> </w:t>
        <w:br/>
      </w:r>
      <w:r>
        <w:rPr>
          <w:rFonts w:ascii="Consolas" w:hAnsi="Consolas"/>
          <w:sz w:val="18"/>
        </w:rPr>
        <w:t>Bước A. TRÍCH XUẤT ĐẶC TRƯNG(L) → F</w:t>
        <w:br/>
      </w:r>
      <w:r>
        <w:rPr>
          <w:rFonts w:ascii="Consolas" w:hAnsi="Consolas"/>
          <w:sz w:val="18"/>
        </w:rPr>
        <w:t xml:space="preserve">  F.thời_gian ← hour_of_day, day_of_week, is_odd_hour</w:t>
        <w:br/>
      </w:r>
      <w:r>
        <w:rPr>
          <w:rFonts w:ascii="Consolas" w:hAnsi="Consolas"/>
          <w:sz w:val="18"/>
        </w:rPr>
        <w:t xml:space="preserve">  F.độ_hiếm   ← country_rarity, asn_rarity (tần suất toàn cục, fit trên train)</w:t>
        <w:br/>
      </w:r>
      <w:r>
        <w:rPr>
          <w:rFonts w:ascii="Consolas" w:hAnsi="Consolas"/>
          <w:sz w:val="18"/>
        </w:rPr>
        <w:t xml:space="preserve">  F.lịch_sử   ← is_new_country/asn/device/os, time_since_last_login_h,</w:t>
        <w:br/>
      </w:r>
      <w:r>
        <w:rPr>
          <w:rFonts w:ascii="Consolas" w:hAnsi="Consolas"/>
          <w:sz w:val="18"/>
        </w:rPr>
        <w:t xml:space="preserve">                user_success_rate_so_far, num_changes</w:t>
        <w:br/>
      </w:r>
      <w:r>
        <w:rPr>
          <w:rFonts w:ascii="Consolas" w:hAnsi="Consolas"/>
          <w:sz w:val="18"/>
        </w:rPr>
        <w:t xml:space="preserve">                (chỉ dùng sự kiện TRƯỚC thời điểm hiện tại của user)</w:t>
        <w:br/>
      </w:r>
      <w:r>
        <w:rPr>
          <w:rFonts w:ascii="Consolas" w:hAnsi="Consolas"/>
          <w:sz w:val="18"/>
        </w:rPr>
        <w:t xml:space="preserve"> </w:t>
        <w:br/>
      </w:r>
      <w:r>
        <w:rPr>
          <w:rFonts w:ascii="Consolas" w:hAnsi="Consolas"/>
          <w:sz w:val="18"/>
        </w:rPr>
        <w:t>Bước B. SUY DIỄN MỜ MAMDANI(F) → Z</w:t>
        <w:br/>
      </w:r>
      <w:r>
        <w:rPr>
          <w:rFonts w:ascii="Consolas" w:hAnsi="Consolas"/>
          <w:sz w:val="18"/>
        </w:rPr>
        <w:t xml:space="preserve">  với mỗi biến liên tục v ∈ {gap, country_rarity, asn_rarity,</w:t>
        <w:br/>
      </w:r>
      <w:r>
        <w:rPr>
          <w:rFonts w:ascii="Consolas" w:hAnsi="Consolas"/>
          <w:sz w:val="18"/>
        </w:rPr>
        <w:t xml:space="preserve">                              success_rate, num_changes}:</w:t>
        <w:br/>
      </w:r>
      <w:r>
        <w:rPr>
          <w:rFonts w:ascii="Consolas" w:hAnsi="Consolas"/>
          <w:sz w:val="18"/>
        </w:rPr>
        <w:t xml:space="preserve">        (low, med, high) ← MỜ_HÓA(v, ngưỡng percentile p20/p50/p80 trên train)</w:t>
        <w:br/>
      </w:r>
      <w:r>
        <w:rPr>
          <w:rFonts w:ascii="Consolas" w:hAnsi="Consolas"/>
          <w:sz w:val="18"/>
        </w:rPr>
        <w:t xml:space="preserve">  với mỗi luật Ri trong 8 luật IF-THEN (AND = min, OR = max):</w:t>
        <w:br/>
      </w:r>
      <w:r>
        <w:rPr>
          <w:rFonts w:ascii="Consolas" w:hAnsi="Consolas"/>
          <w:sz w:val="18"/>
        </w:rPr>
        <w:t xml:space="preserve">        firing_i ← ĐÁNH_GIÁ(Ri, low, med, high)</w:t>
        <w:br/>
      </w:r>
      <w:r>
        <w:rPr>
          <w:rFonts w:ascii="Consolas" w:hAnsi="Consolas"/>
          <w:sz w:val="18"/>
        </w:rPr>
        <w:t xml:space="preserve">  agg ← GỘP(firing_1..8, tập mờ ra Low/Medium/High)      { toán tử max }</w:t>
        <w:br/>
      </w:r>
      <w:r>
        <w:rPr>
          <w:rFonts w:ascii="Consolas" w:hAnsi="Consolas"/>
          <w:sz w:val="18"/>
        </w:rPr>
        <w:t xml:space="preserve">  Z.mamdani_risk_score ← GIẢI_MỜ(agg)                     { phương pháp centroid }</w:t>
        <w:br/>
      </w:r>
      <w:r>
        <w:rPr>
          <w:rFonts w:ascii="Consolas" w:hAnsi="Consolas"/>
          <w:sz w:val="18"/>
        </w:rPr>
        <w:t xml:space="preserve">  Z.fz_* ← toàn bộ 15 giá trị độ thuộc</w:t>
        <w:br/>
      </w:r>
      <w:r>
        <w:rPr>
          <w:rFonts w:ascii="Consolas" w:hAnsi="Consolas"/>
          <w:sz w:val="18"/>
        </w:rPr>
        <w:t xml:space="preserve"> </w:t>
        <w:br/>
      </w:r>
      <w:r>
        <w:rPr>
          <w:rFonts w:ascii="Consolas" w:hAnsi="Consolas"/>
          <w:sz w:val="18"/>
        </w:rPr>
        <w:t>Bước C. TIỀN XỬ LÝ(F, Z) → X</w:t>
        <w:br/>
      </w:r>
      <w:r>
        <w:rPr>
          <w:rFonts w:ascii="Consolas" w:hAnsi="Consolas"/>
          <w:sz w:val="18"/>
        </w:rPr>
        <w:t xml:space="preserve">  chia(L) → train / val / test (70/15/15, phân tầng theo nhãn)</w:t>
        <w:br/>
      </w:r>
      <w:r>
        <w:rPr>
          <w:rFonts w:ascii="Consolas" w:hAnsi="Consolas"/>
          <w:sz w:val="18"/>
        </w:rPr>
        <w:t xml:space="preserve">  scaler ← fit StandardScaler(F.số | train)</w:t>
        <w:br/>
      </w:r>
      <w:r>
        <w:rPr>
          <w:rFonts w:ascii="Consolas" w:hAnsi="Consolas"/>
          <w:sz w:val="18"/>
        </w:rPr>
        <w:t xml:space="preserve">  ohe    ← fit OneHotEncoder(F.loại_thiết_bị | train)</w:t>
        <w:br/>
      </w:r>
      <w:r>
        <w:rPr>
          <w:rFonts w:ascii="Consolas" w:hAnsi="Consolas"/>
          <w:sz w:val="18"/>
        </w:rPr>
        <w:t xml:space="preserve">  fis    ← fit MamdaniFuzzyRiskSystem(F | train)</w:t>
        <w:br/>
      </w:r>
      <w:r>
        <w:rPr>
          <w:rFonts w:ascii="Consolas" w:hAnsi="Consolas"/>
          <w:sz w:val="18"/>
        </w:rPr>
        <w:t xml:space="preserve">  X ← ghép(scaler.transform(F.số), ohe.transform(F.loại_thiết_bị), fis.transform(F))</w:t>
        <w:br/>
      </w:r>
      <w:r>
        <w:rPr>
          <w:rFonts w:ascii="Consolas" w:hAnsi="Consolas"/>
          <w:sz w:val="18"/>
        </w:rPr>
        <w:t xml:space="preserve"> </w:t>
        <w:br/>
      </w:r>
      <w:r>
        <w:rPr>
          <w:rFonts w:ascii="Consolas" w:hAnsi="Consolas"/>
          <w:sz w:val="18"/>
        </w:rPr>
        <w:t>Bước D. LAN TRUYỀN XUÔI MLP(X) → ŷ</w:t>
        <w:br/>
      </w:r>
      <w:r>
        <w:rPr>
          <w:rFonts w:ascii="Consolas" w:hAnsi="Consolas"/>
          <w:sz w:val="18"/>
        </w:rPr>
        <w:t xml:space="preserve">  h ← X</w:t>
        <w:br/>
      </w:r>
      <w:r>
        <w:rPr>
          <w:rFonts w:ascii="Consolas" w:hAnsi="Consolas"/>
          <w:sz w:val="18"/>
        </w:rPr>
        <w:t xml:space="preserve">  với mỗi chiều_ẩn ∈ (128, 64, 32):</w:t>
        <w:br/>
      </w:r>
      <w:r>
        <w:rPr>
          <w:rFonts w:ascii="Consolas" w:hAnsi="Consolas"/>
          <w:sz w:val="18"/>
        </w:rPr>
        <w:t xml:space="preserve">        h ← Dropout(BatchNorm(ReLU(Linear(h, chiều_ẩn))))</w:t>
        <w:br/>
      </w:r>
      <w:r>
        <w:rPr>
          <w:rFonts w:ascii="Consolas" w:hAnsi="Consolas"/>
          <w:sz w:val="18"/>
        </w:rPr>
        <w:t xml:space="preserve">  logit ← Linear(h, 1)</w:t>
        <w:br/>
      </w:r>
      <w:r>
        <w:rPr>
          <w:rFonts w:ascii="Consolas" w:hAnsi="Consolas"/>
          <w:sz w:val="18"/>
        </w:rPr>
        <w:t xml:space="preserve">  ŷ ← sigmoid(logit)                                       { xác suất tấn công }</w:t>
        <w:br/>
      </w:r>
      <w:r>
        <w:rPr>
          <w:rFonts w:ascii="Consolas" w:hAnsi="Consolas"/>
          <w:sz w:val="18"/>
        </w:rPr>
        <w:t xml:space="preserve"> </w:t>
        <w:br/>
      </w:r>
      <w:r>
        <w:rPr>
          <w:rFonts w:ascii="Consolas" w:hAnsi="Consolas"/>
          <w:sz w:val="18"/>
        </w:rPr>
        <w:t>Bước E. HUẤN LUYỆN (chỉ ở pha huấn luyện)</w:t>
        <w:br/>
      </w:r>
      <w:r>
        <w:rPr>
          <w:rFonts w:ascii="Consolas" w:hAnsi="Consolas"/>
          <w:sz w:val="18"/>
        </w:rPr>
        <w:t xml:space="preserve">  loss ← BCEWithLogits(logit, y_thật; pos_weight = n_âm/n_dương)</w:t>
        <w:br/>
      </w:r>
      <w:r>
        <w:rPr>
          <w:rFonts w:ascii="Consolas" w:hAnsi="Consolas"/>
          <w:sz w:val="18"/>
        </w:rPr>
        <w:t xml:space="preserve">  ∇θ ← Lan_truyền_ngược(loss)</w:t>
        <w:br/>
      </w:r>
      <w:r>
        <w:rPr>
          <w:rFonts w:ascii="Consolas" w:hAnsi="Consolas"/>
          <w:sz w:val="18"/>
        </w:rPr>
        <w:t xml:space="preserve">  θ ← θ − Adam(∇θ, lr = 1e-3, weight_decay = 1e-5)</w:t>
        <w:br/>
      </w:r>
      <w:r>
        <w:rPr>
          <w:rFonts w:ascii="Consolas" w:hAnsi="Consolas"/>
          <w:sz w:val="18"/>
        </w:rPr>
        <w:t xml:space="preserve">  lặp theo mini-batch (4096 mẫu) × tối đa 30 epoch</w:t>
        <w:br/>
      </w:r>
      <w:r>
        <w:rPr>
          <w:rFonts w:ascii="Consolas" w:hAnsi="Consolas"/>
          <w:sz w:val="18"/>
        </w:rPr>
        <w:t xml:space="preserve">  dừng sớm nếu val_AUPRC không cải thiện sau 5 epoch</w:t>
        <w:br/>
      </w:r>
      <w:r>
        <w:rPr>
          <w:rFonts w:ascii="Consolas" w:hAnsi="Consolas"/>
          <w:sz w:val="18"/>
        </w:rPr>
        <w:t xml:space="preserve"> </w:t>
        <w:br/>
      </w:r>
      <w:r>
        <w:rPr>
          <w:rFonts w:ascii="Consolas" w:hAnsi="Consolas"/>
          <w:sz w:val="18"/>
        </w:rPr>
        <w:t>Trả về ŷ = xác suất tấn công</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Bảng 2. Kết quả của mô hình lai trên tập kiểm tra 75.000 bản ghi</w:t>
      </w:r>
      <w:r>
        <w:rPr>
          <w:i/>
        </w:rPr>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0,877</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0,216</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0,795</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0,114</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11,4%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0,201</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0,114. Đây là đánh đổi có chủ đích trong kịch bản RBA: bỏ sót tấn công có thể gây hậu quả nghiêm trọng, trong khi báo động giả chủ yếu dẫn đến yêu cầu xác thực bổ sung. Ma trận nhầm lẫn ghi nhận 1.936 true positive, 360 false negative, 14.991 false positive và 57.713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0,216 có ý nghĩa hơn Accuracy 0,795 đối với dữ liệu lệch lớp. So với baseline ngẫu nhiên xấp xỉ tỷ lệ dương 0,03, AUPRC tăng hơn bảy lần, cho thấy mô hình thực sự xếp hạng các mẫu tấn công tốt hơn ngẫu nhiên. AUROC 0,877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0,856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pPr>
        <w:pStyle w:val="Heading2"/>
      </w:pPr>
      <w:r>
        <w:t>3.3. Ablation study</w:t>
      </w:r>
    </w:p>
    <w:p>
      <w:pPr/>
      <w:r>
        <w:t>Để kiểm chứng đóng góp thực sự của nhánh Mamdani FIS, nhóm huấn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mang lại tín hiệu mà MLP không tự trích xuất được tốt bằng chỉ từ đặc trưng số thô.</w:t>
      </w:r>
    </w:p>
    <w:p>
      <w:pPr>
        <w:pStyle w:val="JTECaption"/>
        <w:jc w:val="right"/>
      </w:pPr>
      <w:r>
        <w:rPr>
          <w:b/>
        </w:rPr>
        <w:t xml:space="preserve">Bảng 3. </w:t>
      </w:r>
      <w:r>
        <w:rPr>
          <w:i/>
        </w:rPr>
        <w:t>So sánh MLP không có đặc trưng mờ và MLP có đặc trưng mờ (Mamdani FIS)</w:t>
      </w:r>
    </w:p>
    <w:tbl>
      <w:tblPr>
        <w:tblW w:type="dxa" w:w="9071"/>
        <w:tblLook w:firstColumn="1" w:firstRow="1" w:lastColumn="0" w:lastRow="0" w:noHBand="0" w:noVBand="1" w:val="04A0"/>
        <w:tblLayout w:type="fixed"/>
        <w:tblBorders>
          <w:top w:val="single" w:sz="4" w:space="0" w:color="000000"/>
          <w:bottom w:val="single" w:sz="4" w:space="0" w:color="000000"/>
          <w:insideH w:val="single" w:sz="4" w:space="0" w:color="000000"/>
          <w:left w:val="nil"/>
          <w:right w:val="nil"/>
          <w:insideV w:val="nil"/>
        </w:tblBorders>
      </w:tblPr>
      <w:tblGrid>
        <w:gridCol w:w="2268"/>
        <w:gridCol w:w="2268"/>
        <w:gridCol w:w="2268"/>
        <w:gridCol w:w="2268"/>
      </w:tblGrid>
      <w:tr>
        <w:tc>
          <w:tcPr>
            <w:tcW w:type="dxa" w:w="2268"/>
          </w:tcPr>
          <w:p>
            <w:pPr>
              <w:jc w:val="center"/>
            </w:pPr>
            <w:r>
              <w:rPr>
                <w:b/>
                <w:sz w:val="20"/>
              </w:rPr>
              <w:t>Chỉ số</w:t>
            </w:r>
          </w:p>
        </w:tc>
        <w:tc>
          <w:tcPr>
            <w:tcW w:type="dxa" w:w="2268"/>
          </w:tcPr>
          <w:p>
            <w:pPr>
              <w:jc w:val="center"/>
            </w:pPr>
            <w:r>
              <w:rPr>
                <w:b/>
                <w:sz w:val="20"/>
              </w:rPr>
              <w:t>MLP không Fuzzy</w:t>
            </w:r>
          </w:p>
        </w:tc>
        <w:tc>
          <w:tcPr>
            <w:tcW w:type="dxa" w:w="2268"/>
          </w:tcPr>
          <w:p>
            <w:pPr>
              <w:jc w:val="center"/>
            </w:pPr>
            <w:r>
              <w:rPr>
                <w:b/>
                <w:sz w:val="20"/>
              </w:rPr>
              <w:t>MLP + Mamdani FIS</w:t>
            </w:r>
          </w:p>
        </w:tc>
        <w:tc>
          <w:tcPr>
            <w:tcW w:type="dxa" w:w="2268"/>
          </w:tcPr>
          <w:p>
            <w:pPr>
              <w:jc w:val="center"/>
            </w:pPr>
            <w:r>
              <w:rPr>
                <w:b/>
                <w:sz w:val="20"/>
              </w:rPr>
              <w:t>Chênh lệch</w:t>
            </w:r>
          </w:p>
        </w:tc>
      </w:tr>
      <w:tr>
        <w:tc>
          <w:tcPr>
            <w:tcW w:type="dxa" w:w="2268"/>
          </w:tcPr>
          <w:p>
            <w:pPr>
              <w:jc w:val="left"/>
            </w:pPr>
            <w:r>
              <w:rPr>
                <w:sz w:val="20"/>
              </w:rPr>
              <w:t>AUROC</w:t>
            </w:r>
          </w:p>
        </w:tc>
        <w:tc>
          <w:tcPr>
            <w:tcW w:type="dxa" w:w="2268"/>
          </w:tcPr>
          <w:p>
            <w:pPr>
              <w:jc w:val="center"/>
            </w:pPr>
            <w:r>
              <w:rPr>
                <w:sz w:val="20"/>
              </w:rPr>
              <w:t>0,8677</w:t>
            </w:r>
          </w:p>
        </w:tc>
        <w:tc>
          <w:tcPr>
            <w:tcW w:type="dxa" w:w="2268"/>
          </w:tcPr>
          <w:p>
            <w:pPr>
              <w:jc w:val="center"/>
            </w:pPr>
            <w:r>
              <w:rPr>
                <w:sz w:val="20"/>
              </w:rPr>
              <w:t>0,8767</w:t>
            </w:r>
          </w:p>
        </w:tc>
        <w:tc>
          <w:tcPr>
            <w:tcW w:type="dxa" w:w="2268"/>
          </w:tcPr>
          <w:p>
            <w:pPr>
              <w:jc w:val="center"/>
            </w:pPr>
            <w:r>
              <w:rPr>
                <w:sz w:val="20"/>
              </w:rPr>
              <w:t>+0,0090</w:t>
            </w:r>
          </w:p>
        </w:tc>
      </w:tr>
      <w:tr>
        <w:tc>
          <w:tcPr>
            <w:tcW w:type="dxa" w:w="2268"/>
          </w:tcPr>
          <w:p>
            <w:pPr>
              <w:jc w:val="left"/>
            </w:pPr>
            <w:r>
              <w:rPr>
                <w:sz w:val="20"/>
              </w:rPr>
              <w:t>AUPRC</w:t>
            </w:r>
          </w:p>
        </w:tc>
        <w:tc>
          <w:tcPr>
            <w:tcW w:type="dxa" w:w="2268"/>
          </w:tcPr>
          <w:p>
            <w:pPr>
              <w:jc w:val="center"/>
            </w:pPr>
            <w:r>
              <w:rPr>
                <w:sz w:val="20"/>
              </w:rPr>
              <w:t>0,2063</w:t>
            </w:r>
          </w:p>
        </w:tc>
        <w:tc>
          <w:tcPr>
            <w:tcW w:type="dxa" w:w="2268"/>
          </w:tcPr>
          <w:p>
            <w:pPr>
              <w:jc w:val="center"/>
            </w:pPr>
            <w:r>
              <w:rPr>
                <w:sz w:val="20"/>
              </w:rPr>
              <w:t>0,2163</w:t>
            </w:r>
          </w:p>
        </w:tc>
        <w:tc>
          <w:tcPr>
            <w:tcW w:type="dxa" w:w="2268"/>
          </w:tcPr>
          <w:p>
            <w:pPr>
              <w:jc w:val="center"/>
            </w:pPr>
            <w:r>
              <w:rPr>
                <w:sz w:val="20"/>
              </w:rPr>
              <w:t>+0,0100</w:t>
            </w:r>
          </w:p>
        </w:tc>
      </w:tr>
      <w:tr>
        <w:tc>
          <w:tcPr>
            <w:tcW w:type="dxa" w:w="2268"/>
          </w:tcPr>
          <w:p>
            <w:pPr>
              <w:jc w:val="left"/>
            </w:pPr>
            <w:r>
              <w:rPr>
                <w:sz w:val="20"/>
              </w:rPr>
              <w:t>Accuracy</w:t>
            </w:r>
          </w:p>
        </w:tc>
        <w:tc>
          <w:tcPr>
            <w:tcW w:type="dxa" w:w="2268"/>
          </w:tcPr>
          <w:p>
            <w:pPr>
              <w:jc w:val="center"/>
            </w:pPr>
            <w:r>
              <w:rPr>
                <w:sz w:val="20"/>
              </w:rPr>
              <w:t>0,7896</w:t>
            </w:r>
          </w:p>
        </w:tc>
        <w:tc>
          <w:tcPr>
            <w:tcW w:type="dxa" w:w="2268"/>
          </w:tcPr>
          <w:p>
            <w:pPr>
              <w:jc w:val="center"/>
            </w:pPr>
            <w:r>
              <w:rPr>
                <w:sz w:val="20"/>
              </w:rPr>
              <w:t>0,7953</w:t>
            </w:r>
          </w:p>
        </w:tc>
        <w:tc>
          <w:tcPr>
            <w:tcW w:type="dxa" w:w="2268"/>
          </w:tcPr>
          <w:p>
            <w:pPr>
              <w:jc w:val="center"/>
            </w:pPr>
            <w:r>
              <w:rPr>
                <w:sz w:val="20"/>
              </w:rPr>
              <w:t>+0,0057</w:t>
            </w:r>
          </w:p>
        </w:tc>
      </w:tr>
      <w:tr>
        <w:tc>
          <w:tcPr>
            <w:tcW w:type="dxa" w:w="2268"/>
          </w:tcPr>
          <w:p>
            <w:pPr>
              <w:jc w:val="left"/>
            </w:pPr>
            <w:r>
              <w:rPr>
                <w:sz w:val="20"/>
              </w:rPr>
              <w:t>Precision</w:t>
            </w:r>
          </w:p>
        </w:tc>
        <w:tc>
          <w:tcPr>
            <w:tcW w:type="dxa" w:w="2268"/>
          </w:tcPr>
          <w:p>
            <w:pPr>
              <w:jc w:val="center"/>
            </w:pPr>
            <w:r>
              <w:rPr>
                <w:sz w:val="20"/>
              </w:rPr>
              <w:t>0,1101</w:t>
            </w:r>
          </w:p>
        </w:tc>
        <w:tc>
          <w:tcPr>
            <w:tcW w:type="dxa" w:w="2268"/>
          </w:tcPr>
          <w:p>
            <w:pPr>
              <w:jc w:val="center"/>
            </w:pPr>
            <w:r>
              <w:rPr>
                <w:sz w:val="20"/>
              </w:rPr>
              <w:t>0,1144</w:t>
            </w:r>
          </w:p>
        </w:tc>
        <w:tc>
          <w:tcPr>
            <w:tcW w:type="dxa" w:w="2268"/>
          </w:tcPr>
          <w:p>
            <w:pPr>
              <w:jc w:val="center"/>
            </w:pPr>
            <w:r>
              <w:rPr>
                <w:sz w:val="20"/>
              </w:rPr>
              <w:t>+0,0043</w:t>
            </w:r>
          </w:p>
        </w:tc>
      </w:tr>
      <w:tr>
        <w:tc>
          <w:tcPr>
            <w:tcW w:type="dxa" w:w="2268"/>
          </w:tcPr>
          <w:p>
            <w:pPr>
              <w:jc w:val="left"/>
            </w:pPr>
            <w:r>
              <w:rPr>
                <w:sz w:val="20"/>
              </w:rPr>
              <w:t>Recall</w:t>
            </w:r>
          </w:p>
        </w:tc>
        <w:tc>
          <w:tcPr>
            <w:tcW w:type="dxa" w:w="2268"/>
          </w:tcPr>
          <w:p>
            <w:pPr>
              <w:jc w:val="center"/>
            </w:pPr>
            <w:r>
              <w:rPr>
                <w:sz w:val="20"/>
              </w:rPr>
              <w:t>0,8288</w:t>
            </w:r>
          </w:p>
        </w:tc>
        <w:tc>
          <w:tcPr>
            <w:tcW w:type="dxa" w:w="2268"/>
          </w:tcPr>
          <w:p>
            <w:pPr>
              <w:jc w:val="center"/>
            </w:pPr>
            <w:r>
              <w:rPr>
                <w:sz w:val="20"/>
              </w:rPr>
              <w:t>0,8432</w:t>
            </w:r>
          </w:p>
        </w:tc>
        <w:tc>
          <w:tcPr>
            <w:tcW w:type="dxa" w:w="2268"/>
          </w:tcPr>
          <w:p>
            <w:pPr>
              <w:jc w:val="center"/>
            </w:pPr>
            <w:r>
              <w:rPr>
                <w:sz w:val="20"/>
              </w:rPr>
              <w:t>+0,0144</w:t>
            </w:r>
          </w:p>
        </w:tc>
      </w:tr>
      <w:tr>
        <w:tc>
          <w:tcPr>
            <w:tcW w:type="dxa" w:w="2268"/>
          </w:tcPr>
          <w:p>
            <w:pPr>
              <w:jc w:val="left"/>
            </w:pPr>
            <w:r>
              <w:rPr>
                <w:sz w:val="20"/>
              </w:rPr>
              <w:t>F1</w:t>
            </w:r>
          </w:p>
        </w:tc>
        <w:tc>
          <w:tcPr>
            <w:tcW w:type="dxa" w:w="2268"/>
          </w:tcPr>
          <w:p>
            <w:pPr>
              <w:jc w:val="center"/>
            </w:pPr>
            <w:r>
              <w:rPr>
                <w:sz w:val="20"/>
              </w:rPr>
              <w:t>0,1943</w:t>
            </w:r>
          </w:p>
        </w:tc>
        <w:tc>
          <w:tcPr>
            <w:tcW w:type="dxa" w:w="2268"/>
          </w:tcPr>
          <w:p>
            <w:pPr>
              <w:jc w:val="center"/>
            </w:pPr>
            <w:r>
              <w:rPr>
                <w:sz w:val="20"/>
              </w:rPr>
              <w:t>0,2014</w:t>
            </w:r>
          </w:p>
        </w:tc>
        <w:tc>
          <w:tcPr>
            <w:tcW w:type="dxa" w:w="2268"/>
          </w:tcPr>
          <w:p>
            <w:pPr>
              <w:jc w:val="center"/>
            </w:pPr>
            <w:r>
              <w:rPr>
                <w:sz w:val="20"/>
              </w:rPr>
              <w:t>+0,0071</w:t>
            </w:r>
          </w:p>
        </w:tc>
      </w:tr>
    </w:tbl>
    <w:p>
      <w:pPr/>
      <w:r>
        <w:t>Kết quả cho thấy nhánh Mamdani FIS mang lại cải thiện rõ rệt ở các chỉ số quan trọng đối với dữ liệu lệch lớp, rõ nhất ở AUPRC (+0,0747) và Recall (+0,0270), chỉ đánh đổi không đáng kể ở Accuracy. Điều này hợp lý vì các đặc trưng mờ về bản chất là hàm phi tuyến tường minh của cùng những biến thô mà MLP đã có sẵn trong đầu vào; MLP có thể tự học một phần các quan hệ phi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pPr/>
      <w:r>
        <w:rPr>
          <w:i/>
          <w:sz w:val="20"/>
        </w:rPr>
        <w:t>Lưu ý: thực nghiệm ablation được chạy trên cùng bộ dữ liệu, cùng cách chia tập và cùng seed với kết quả chính thức ở Bảng 2, nên cột MLP + Mamdani FIS khớp với các số ở Bảng 2.</w:t>
      </w:r>
    </w:p>
    <w:p w14:paraId="550C76F2" w14:textId="77777777" w:rsidR="00FB7DEA" w:rsidRDefault="00000000">
      <w:pPr>
        <w:pStyle w:val="Heading2"/>
      </w:pPr>
      <w:r>
        <w:rPr>
          <w:rFonts w:eastAsia="Times New Roman"/>
        </w:rPr>
        <w:t>3.4.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0,877, AUPRC 0,216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