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title：孟子性善论与仁政学说</w:t>
      </w:r>
    </w:p>
    <w:p>
      <w:r>
        <w:rPr>
          <w:b/>
        </w:rPr>
        <w:t>date：2026-02-05</w:t>
      </w:r>
    </w:p>
    <w:p>
      <w:r>
        <w:rPr>
          <w:b/>
        </w:rPr>
        <w:t>category：儒家</w:t>
      </w:r>
    </w:p>
    <w:p>
      <w:r>
        <w:rPr>
          <w:b/>
        </w:rPr>
        <w:t>tags：[孟子,性善,仁政,民本]</w:t>
      </w:r>
    </w:p>
    <w:p>
      <w:pPr>
        <w:pStyle w:val="Heading1"/>
      </w:pPr>
      <w:r>
        <w:t>孟子性善论与仁政学说</w:t>
      </w:r>
    </w:p>
    <w:p>
      <w:pPr>
        <w:pStyle w:val="Heading2"/>
      </w:pPr>
      <w:r>
        <w:t>一、时代背景</w:t>
      </w:r>
    </w:p>
    <w:p>
      <w:r>
        <w:t>战国中期，杨朱“为我”与墨翟“兼爱”之言盈天下，儒家仁义之道几于中绝。孟子以“正人心、息邪说”自任，在与告子的人性论辩中建立了性善论，并由此推导出完整的仁政学说。</w:t>
      </w:r>
    </w:p>
    <w:p>
      <w:pPr>
        <w:pStyle w:val="Heading2"/>
      </w:pPr>
      <w:r>
        <w:t>二、性善论的核心论证</w:t>
      </w:r>
    </w:p>
    <w:p>
      <w:r>
        <w:t>孟子曰：“人性之善也，犹水之就下也。人无有不善，水无有不下。”其论证不依赖经验归纳，而从“人皆有不忍人之心”的良知直觉出发：</w:t>
      </w:r>
    </w:p>
    <w:p>
      <w:pPr>
        <w:pStyle w:val="ListBullet"/>
      </w:pPr>
      <w:r>
        <w:t>今人乍见孺子将入于井，皆有怵惕恻隐之心——**非所以内交于孺子之父母也，非所以要誉于乡党朋友也**，而是良知的不假思索的发动。</w:t>
      </w:r>
    </w:p>
    <w:p>
      <w:pPr>
        <w:pStyle w:val="ListBullet"/>
      </w:pPr>
      <w:r>
        <w:t>由此四端：**恻隐之心，仁之端也；羞恶之心，义之端也；辞让之心，礼之端也；是非之心，智之端也。**</w:t>
      </w:r>
    </w:p>
    <w:p>
      <w:pPr>
        <w:pStyle w:val="ListBullet"/>
      </w:pPr>
      <w:r>
        <w:t>“凡有四端于我者，知皆扩而充之矣，若火之始然，泉之始达。”</w:t>
      </w:r>
    </w:p>
    <w:p>
      <w:pPr>
        <w:pStyle w:val="Heading2"/>
      </w:pPr>
      <w:r>
        <w:t>三、“性”与“命”之辨</w:t>
      </w:r>
    </w:p>
    <w:p>
      <w:r>
        <w:t>孟子严格区分性、命：“口之于味也，目之于色也，耳之于声也，鼻之于臭也，四肢之于安佚也，性也，有命焉，君子不谓性也；仁之于父子也，义之于君臣也，礼之于宾主也，智之于贤者也，圣人之于天道也，命也，有性焉，君子不谓命也。”道德仁义虽若命定，其实正为人性所在，故君子唯以此为性。</w:t>
      </w:r>
    </w:p>
    <w:p>
      <w:pPr>
        <w:pStyle w:val="Heading2"/>
      </w:pPr>
      <w:r>
        <w:t>四、由性善而仁政</w:t>
      </w:r>
    </w:p>
    <w:p>
      <w:r>
        <w:t>孟子由不忍人之心推不忍人之政：“人皆有不忍人之心，先王有不忍人之心，斯有不忍人之政矣。以不忍人之心，行不忍人之政，治天下可运之掌上。”仁政之具体条目包括：</w:t>
      </w:r>
    </w:p>
    <w:p>
      <w:pPr>
        <w:pStyle w:val="ListNumber"/>
      </w:pPr>
      <w:r>
        <w:t>**制民之产**：“必使仰足以事父母，俯足以畜妻子，乐岁终身饱，凶年免于死亡。”</w:t>
      </w:r>
    </w:p>
    <w:p>
      <w:pPr>
        <w:pStyle w:val="ListNumber"/>
      </w:pPr>
      <w:r>
        <w:t>**省刑罚、薄税敛**：取于民有制，不违农时。</w:t>
      </w:r>
    </w:p>
    <w:p>
      <w:pPr>
        <w:pStyle w:val="ListNumber"/>
      </w:pPr>
      <w:r>
        <w:t>**谨庠序之教**：申之以孝悌之义，使民知礼义。</w:t>
      </w:r>
    </w:p>
    <w:p>
      <w:pPr>
        <w:pStyle w:val="ListNumber"/>
      </w:pPr>
      <w:r>
        <w:t>**推恩**：“老吾老以及人之老，幼吾幼以及人之幼。”</w:t>
      </w:r>
    </w:p>
    <w:p>
      <w:pPr>
        <w:pStyle w:val="Heading2"/>
      </w:pPr>
      <w:r>
        <w:t>五、民本思想的巅峰</w:t>
      </w:r>
    </w:p>
    <w:p>
      <w:r>
        <w:t>“民为贵，社稷次之，君为轻。”孟子将民本推至极端：“闻诛一夫纣矣，未闻弑君也。”暴君残民，则失其所以为君，一夫可诛。又曰：“天时不如地利，地利不如人和。”民心向背为国家兴亡之本。此说后世被尊为“亚圣”之学的精髓，亦因其激烈而为专制君主所忌惮，明太祖曾一度罢孟子配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