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title：荀子礼法思想述论</w:t>
      </w:r>
    </w:p>
    <w:p>
      <w:r>
        <w:rPr>
          <w:b/>
        </w:rPr>
        <w:t>date：2026-02-10</w:t>
      </w:r>
    </w:p>
    <w:p>
      <w:r>
        <w:rPr>
          <w:b/>
        </w:rPr>
        <w:t>category：儒家</w:t>
      </w:r>
    </w:p>
    <w:p>
      <w:r>
        <w:rPr>
          <w:b/>
        </w:rPr>
        <w:t>tags：[荀子,性恶,礼,法]</w:t>
      </w:r>
    </w:p>
    <w:p>
      <w:pPr>
        <w:pStyle w:val="Heading1"/>
      </w:pPr>
      <w:r>
        <w:t>荀子礼法思想述论</w:t>
      </w:r>
    </w:p>
    <w:p>
      <w:pPr>
        <w:pStyle w:val="Heading2"/>
      </w:pPr>
      <w:r>
        <w:t>一、荀学在儒家谱系中的位置</w:t>
      </w:r>
    </w:p>
    <w:p>
      <w:r>
        <w:t>荀子身处战国末期，百家争鸣趋于汇流，秦国崛起之势已成。其学以孔子为宗，而采道家之“天”、法家之“法”，形成“隆礼重法”的独特体系。汉初儒生多出其门，韩非、李斯皆其弟子，故荀学实为儒法过渡之枢轴。</w:t>
      </w:r>
    </w:p>
    <w:p>
      <w:pPr>
        <w:pStyle w:val="Heading2"/>
      </w:pPr>
      <w:r>
        <w:t>二、性恶论</w:t>
      </w:r>
    </w:p>
    <w:p>
      <w:r>
        <w:t>“人之性恶，其善者伪也。”荀子所谓性，指“生之所以然者”，即天然情欲：“今人之性，生而有好利焉，顺是，故争夺生而辞让亡焉；生而有疾恶焉，顺是，故残贼生而忠信亡焉。”若顺性放任，必致悖乱。善则出于“伪”——伪者，人为也，即礼义教化之结果。</w:t>
      </w:r>
    </w:p>
    <w:p>
      <w:pPr>
        <w:pStyle w:val="Heading2"/>
      </w:pPr>
      <w:r>
        <w:t>三、“化性起伪”的教化论</w:t>
      </w:r>
    </w:p>
    <w:p>
      <w:r>
        <w:t>性虽恶，然“涂之人可以为禹”。其根据在于：“凡以知，人之性也；可以知，物之理也。”人皆有认识礼义之能力，故“化性起伪”成为可能。其工夫在于：</w:t>
      </w:r>
    </w:p>
    <w:p>
      <w:pPr>
        <w:pStyle w:val="ListBullet"/>
      </w:pPr>
      <w:r>
        <w:t>**积**：“积土成山，风雨兴焉；积水成渊，蛟龙生焉。”</w:t>
      </w:r>
    </w:p>
    <w:p>
      <w:pPr>
        <w:pStyle w:val="ListBullet"/>
      </w:pPr>
      <w:r>
        <w:t>**学**与**师**：“学莫便乎近其人”，师者所以正礼。</w:t>
      </w:r>
    </w:p>
    <w:p>
      <w:pPr>
        <w:pStyle w:val="ListBullet"/>
      </w:pPr>
      <w:r>
        <w:t>**注错习俗**：“蓬生麻中，不扶而直；白沙在涅，与之俱黑。”环境塑造人性。</w:t>
      </w:r>
    </w:p>
    <w:p>
      <w:pPr>
        <w:pStyle w:val="Heading2"/>
      </w:pPr>
      <w:r>
        <w:t>四、礼论：礼之起源与功能</w:t>
      </w:r>
    </w:p>
    <w:p>
      <w:r>
        <w:t>荀子对礼之起源给出功利主义解释：“礼起于何也？曰：人生而有欲，欲而不得，则不能无求；求而无度量分界，则不能不争……先王恶其乱也，故制礼义以分之，以养人之欲，给人之求。”礼之功能有三：</w:t>
      </w:r>
      <w:r>
        <w:rPr>
          <w:b/>
        </w:rPr>
        <w:t>养</w:t>
      </w:r>
      <w:r>
        <w:t>（养欲给求）、</w:t>
      </w:r>
      <w:r>
        <w:rPr>
          <w:b/>
        </w:rPr>
        <w:t>别</w:t>
      </w:r>
      <w:r>
        <w:t>（别贵贱长幼）、</w:t>
      </w:r>
      <w:r>
        <w:rPr>
          <w:b/>
        </w:rPr>
        <w:t>教</w:t>
      </w:r>
      <w:r>
        <w:t>（化性起伪）。礼既是道德规范，亦是政治制度。</w:t>
      </w:r>
    </w:p>
    <w:p>
      <w:pPr>
        <w:pStyle w:val="Heading2"/>
      </w:pPr>
      <w:r>
        <w:t>五、隆礼重法：荀学的法家面向</w:t>
      </w:r>
    </w:p>
    <w:p>
      <w:r>
        <w:t>“礼者，法之大分，类之纲纪也。”荀子虽主礼治，并不废法：“故法不能独立，类不能自行，得其人则存，失其人则亡。”他提出“治之经，礼与刑”——礼者禁于将然之前，法者禁于已然之后。君者“论法、省刑、重威”并举。此“礼主法辅”之论，实为汉代“阳儒阴法”政治形态的理论先声。</w:t>
      </w:r>
    </w:p>
    <w:p>
      <w:pPr>
        <w:pStyle w:val="Heading2"/>
      </w:pPr>
      <w:r>
        <w:t>六、天论：天人相分</w:t>
      </w:r>
    </w:p>
    <w:p>
      <w:r>
        <w:t>“天行有常，不为尧存，不为桀亡。”荀子剥离了天的人格神色彩，主张“明于天人之分”，“制天命而用之”。此说与思孟学派“天人合一”路向迥异，然正因其理性精神，开显出儒家面向自然与制度的另一向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