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title：《大学》三纲领与八条目</w:t>
      </w:r>
    </w:p>
    <w:p>
      <w:r>
        <w:rPr>
          <w:b/>
        </w:rPr>
        <w:t>date：2026-02-15</w:t>
      </w:r>
    </w:p>
    <w:p>
      <w:r>
        <w:rPr>
          <w:b/>
        </w:rPr>
        <w:t>category：儒家</w:t>
      </w:r>
    </w:p>
    <w:p>
      <w:r>
        <w:rPr>
          <w:b/>
        </w:rPr>
        <w:t>tags：[大学,三纲领,八条目,格物致知]</w:t>
      </w:r>
    </w:p>
    <w:p>
      <w:pPr>
        <w:pStyle w:val="Heading1"/>
      </w:pPr>
      <w:r>
        <w:t>《大学》三纲领与八条目</w:t>
      </w:r>
    </w:p>
    <w:p>
      <w:pPr>
        <w:pStyle w:val="Heading2"/>
      </w:pPr>
      <w:r>
        <w:t>一、《大学》其书</w:t>
      </w:r>
    </w:p>
    <w:p>
      <w:r>
        <w:t>《大学》原为《礼记》第四十二篇，相传为曾子所作。宋儒取其与《论语》《孟子》《中庸》合为“四书”，朱熹更作《大学章句》，置于四书之首，成为此后七百年士子必读的经典。</w:t>
      </w:r>
    </w:p>
    <w:p>
      <w:pPr>
        <w:pStyle w:val="Heading2"/>
      </w:pPr>
      <w:r>
        <w:t>二、三纲领：明明德、亲民、止于至善</w:t>
      </w:r>
    </w:p>
    <w:p>
      <w:pPr>
        <w:pStyle w:val="IntenseQuote"/>
      </w:pPr>
      <w:r>
        <w:t>大学之道，在明明德，在亲民，在止于至善。</w:t>
      </w:r>
    </w:p>
    <w:p>
      <w:r/>
      <w:r>
        <w:rPr>
          <w:b/>
        </w:rPr>
        <w:t>明明德</w:t>
      </w:r>
      <w:r>
        <w:t>者，彰明人自身本具的光明德性。人之明德，本自明莹，为物欲所蔽，故须明之。此与孟子性善论一脉相承。</w:t>
      </w:r>
    </w:p>
    <w:p>
      <w:r/>
      <w:r>
        <w:rPr>
          <w:b/>
        </w:rPr>
        <w:t>亲民</w:t>
      </w:r>
      <w:r>
        <w:t>（程朱作“新民”，王阳明从“亲民”），即亲爱于民、教化百姓，使民日新其德。</w:t>
      </w:r>
    </w:p>
    <w:p>
      <w:r/>
      <w:r>
        <w:rPr>
          <w:b/>
        </w:rPr>
        <w:t>止于至善</w:t>
      </w:r>
      <w:r>
        <w:t>者，为人君止于仁，为人臣止于敬，为人子止于孝，为人父止于慈，与国人交止于信。至善为绝对的价值归宿，“知止而后有定，定而后能静”。</w:t>
      </w:r>
    </w:p>
    <w:p>
      <w:pPr>
        <w:pStyle w:val="Heading2"/>
      </w:pPr>
      <w:r>
        <w:t>三、八条目：由近及远的工夫次第</w:t>
      </w:r>
    </w:p>
    <w:p>
      <w:pPr>
        <w:pStyle w:val="IntenseQuote"/>
      </w:pPr>
      <w:r>
        <w:t>古之欲明明德于天下者，先治其国；欲治其国者，先齐其家；欲齐其家者，先修其身；欲修其身者，先正其心；欲正其心者，先诚其意；欲诚其意者，先致其知；致知在格物。</w:t>
      </w:r>
    </w:p>
    <w:p>
      <w:r>
        <w:t>八条目者：</w:t>
      </w:r>
      <w:r>
        <w:rPr>
          <w:b/>
        </w:rPr>
        <w:t>格物、致知、诚意、正心、修身、齐家、治国、平天下</w:t>
      </w:r>
      <w:r>
        <w:t>。其结构为：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次第</w:t>
            </w:r>
          </w:p>
        </w:tc>
        <w:tc>
          <w:tcPr>
            <w:tcW w:type="dxa" w:w="2880"/>
          </w:tcPr>
          <w:p>
            <w:r>
              <w:t>条目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格物</w:t>
            </w:r>
          </w:p>
        </w:tc>
        <w:tc>
          <w:tcPr>
            <w:tcW w:type="dxa" w:w="2880"/>
          </w:tcPr>
          <w:p>
            <w:r>
              <w:t>即物而穷其理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致知</w:t>
            </w:r>
          </w:p>
        </w:tc>
        <w:tc>
          <w:tcPr>
            <w:tcW w:type="dxa" w:w="2880"/>
          </w:tcPr>
          <w:p>
            <w:r>
              <w:t>扩充知识，豁然贯通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诚意</w:t>
            </w:r>
          </w:p>
        </w:tc>
        <w:tc>
          <w:tcPr>
            <w:tcW w:type="dxa" w:w="2880"/>
          </w:tcPr>
          <w:p>
            <w:r>
              <w:t>毋自欺，如恶恶臭，如好好色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正心</w:t>
            </w:r>
          </w:p>
        </w:tc>
        <w:tc>
          <w:tcPr>
            <w:tcW w:type="dxa" w:w="2880"/>
          </w:tcPr>
          <w:p>
            <w:r>
              <w:t>心不为忿懥、恐惧、好乐、忧患所动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修身</w:t>
            </w:r>
          </w:p>
        </w:tc>
        <w:tc>
          <w:tcPr>
            <w:tcW w:type="dxa" w:w="2880"/>
          </w:tcPr>
          <w:p>
            <w:r>
              <w:t>以上四者皆正，身修而后家可齐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齐家</w:t>
            </w:r>
          </w:p>
        </w:tc>
        <w:tc>
          <w:tcPr>
            <w:tcW w:type="dxa" w:w="2880"/>
          </w:tcPr>
          <w:p>
            <w:r>
              <w:t>家齐而后国可治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治国</w:t>
            </w:r>
          </w:p>
        </w:tc>
        <w:tc>
          <w:tcPr>
            <w:tcW w:type="dxa" w:w="2880"/>
          </w:tcPr>
          <w:p>
            <w:r>
              <w:t>治国以絜矩之道，民心为本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平天下</w:t>
            </w:r>
          </w:p>
        </w:tc>
        <w:tc>
          <w:tcPr>
            <w:tcW w:type="dxa" w:w="2880"/>
          </w:tcPr>
          <w:p>
            <w:r>
              <w:t>上下交孚，天下归仁</w:t>
            </w:r>
          </w:p>
        </w:tc>
      </w:tr>
    </w:tbl>
    <w:p>
      <w:pPr>
        <w:pStyle w:val="Heading2"/>
      </w:pPr>
      <w:r>
        <w:t>四、“壹是皆以修身为本”</w:t>
      </w:r>
    </w:p>
    <w:p>
      <w:r>
        <w:t>“自天子以至于庶人，壹是皆以修身为本。”八条目并非平列，而是以修身为枢纽：格致诚正为内圣工夫，齐治平为外王事业。本末先后，条理分明，“其所令反其所好，而民不从”。</w:t>
      </w:r>
    </w:p>
    <w:p>
      <w:pPr>
        <w:pStyle w:val="Heading2"/>
      </w:pPr>
      <w:r>
        <w:t>五、朱王之争</w:t>
      </w:r>
    </w:p>
    <w:p>
      <w:r>
        <w:t>朱熹补作“格物致知传”一百三十四字，训格物为“即物而穷其理”，支离乎？王阳明训“格”为“正”、“物”为“意之所在”，主张“格物如格君心之非”。格物之训，遂成宋明理学六百年聚讼之焦点，亦正显《大学》文本之开放性与生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