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title：《中庸》的哲学意蕴</w:t>
      </w:r>
    </w:p>
    <w:p>
      <w:r>
        <w:rPr>
          <w:b/>
        </w:rPr>
        <w:t>date：2026-02-20</w:t>
      </w:r>
    </w:p>
    <w:p>
      <w:r>
        <w:rPr>
          <w:b/>
        </w:rPr>
        <w:t>category：儒家</w:t>
      </w:r>
    </w:p>
    <w:p>
      <w:r>
        <w:rPr>
          <w:b/>
        </w:rPr>
        <w:t>tags：[中庸,诚,中和]</w:t>
      </w:r>
    </w:p>
    <w:p>
      <w:pPr>
        <w:pStyle w:val="Heading1"/>
      </w:pPr>
      <w:r>
        <w:t>《中庸》的哲学意蕴</w:t>
      </w:r>
    </w:p>
    <w:p>
      <w:pPr>
        <w:pStyle w:val="Heading2"/>
      </w:pPr>
      <w:r>
        <w:t>一、《中庸》其书与“中庸”本义</w:t>
      </w:r>
    </w:p>
    <w:p>
      <w:r>
        <w:t>《中庸》为《礼记》第三十一篇，相传子思所作。郑玄注：“名曰中庸者，以其记中和之为用也。”庸者，用也、常也。中庸者，不偏不倚、无过不及而平常可行之道也。</w:t>
      </w:r>
    </w:p>
    <w:p>
      <w:r>
        <w:t>孔子曰：“中庸之为德也，其至矣乎！民鲜久矣。”又曰：“过犹不及。”中庸非折中调和之庸俗，而是恰到好处、因时制宜的最高智慧——“君子之中庸也，君子而时中”。</w:t>
      </w:r>
    </w:p>
    <w:p>
      <w:pPr>
        <w:pStyle w:val="Heading2"/>
      </w:pPr>
      <w:r>
        <w:t>二、天命之谓性：哲学的枢纽</w:t>
      </w:r>
    </w:p>
    <w:p>
      <w:pPr>
        <w:pStyle w:val="IntenseQuote"/>
      </w:pPr>
      <w:r>
        <w:t>天命之谓性，率性之谓道，修道之谓教。</w:t>
      </w:r>
    </w:p>
    <w:p>
      <w:r>
        <w:t>三句纲领建立了一个贯通天人的体系：性为天命所赋，道为性之自然流行，教为圣人对道的修明。此说直接启发了《易传》“穷理尽性以至于命”与宋儒的天理论。</w:t>
      </w:r>
    </w:p>
    <w:p>
      <w:pPr>
        <w:pStyle w:val="Heading2"/>
      </w:pPr>
      <w:r>
        <w:t>三、中和论</w:t>
      </w:r>
    </w:p>
    <w:p>
      <w:pPr>
        <w:pStyle w:val="IntenseQuote"/>
      </w:pPr>
      <w:r>
        <w:t>喜怒哀乐之未发，谓之中；发而皆中节，谓之和。中也者，天下之大本也；和也者，天下之达道也。致中和，天地位焉，万物育焉。</w:t>
      </w:r>
    </w:p>
    <w:p>
      <w:r>
        <w:t>“中”为情感未发之本体状态，“和”为发而有节之效验。中与和不仅是个人修养，更被推扩为宇宙论命题：人心之正，足以参赞天地之化育。程颢“仁者以天地万物为一体”，正由此转出。</w:t>
      </w:r>
    </w:p>
    <w:p>
      <w:pPr>
        <w:pStyle w:val="Heading2"/>
      </w:pPr>
      <w:r>
        <w:t>四、诚论：《中庸》的形上之学</w:t>
      </w:r>
    </w:p>
    <w:p>
      <w:r>
        <w:t>“诚者，天之道也；诚之者，人之道也。”诚是真实无妄之本体，为天之德；人则须择善固执以达诚。“自诚明，谓之性；自明诚，谓之教。”由至诚而明达，是圣人之性；由明达而至于诚，是贤人之学。</w:t>
      </w:r>
    </w:p>
    <w:p>
      <w:r>
        <w:t>诚之功用极大：“至诚之道，可以前知……故至诚如神。”至诚不仅能尽己之性，亦能尽人之性、尽物之性，“则可以赞天地之化育，可以与天地参矣”。</w:t>
      </w:r>
    </w:p>
    <w:p>
      <w:pPr>
        <w:pStyle w:val="Heading2"/>
      </w:pPr>
      <w:r>
        <w:t>五、三达德与五达道</w:t>
      </w:r>
    </w:p>
    <w:p>
      <w:r>
        <w:t>知、仁、勇三者，天下之达德；“好学近乎知，力行近乎仁，知耻近乎勇”。君臣、父子、夫妇、昆弟、朋友之交，五者天下之达道。行五达道，须三达德，其极致则是“极高明而道中庸”——内圣与外王、形上与形下之圆融统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