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title：韩非子法治思想体系</w:t>
      </w:r>
    </w:p>
    <w:p>
      <w:r>
        <w:rPr>
          <w:b/>
        </w:rPr>
        <w:t>date：2026-04-01</w:t>
      </w:r>
    </w:p>
    <w:p>
      <w:r>
        <w:rPr>
          <w:b/>
        </w:rPr>
        <w:t>category：法家</w:t>
      </w:r>
    </w:p>
    <w:p>
      <w:r>
        <w:rPr>
          <w:b/>
        </w:rPr>
        <w:t>tags：[韩非,法治,法,术,势]</w:t>
      </w:r>
    </w:p>
    <w:p>
      <w:pPr>
        <w:pStyle w:val="Heading1"/>
      </w:pPr>
      <w:r>
        <w:t>韩非子法治思想体系</w:t>
      </w:r>
    </w:p>
    <w:p>
      <w:pPr>
        <w:pStyle w:val="Heading2"/>
      </w:pPr>
      <w:r>
        <w:t>一、韩非与《韩非子》</w:t>
      </w:r>
    </w:p>
    <w:p>
      <w:r>
        <w:t>韩非（约前280—前233），战国末期韩国公子，师事荀子，与李斯同门。其书十余万言，凡五十五篇，集法家思想之大成，为秦王嬴政所激赏：“嗟乎，寡人得见此人与之游，死不恨矣！”韩非入秦，未用而为李斯所忌，下狱死。然其思想尽行于秦，并深远塑造了此后两千年的帝制中国。</w:t>
      </w:r>
    </w:p>
    <w:p>
      <w:pPr>
        <w:pStyle w:val="Heading2"/>
      </w:pPr>
      <w:r>
        <w:t>二、法术势三位一体</w:t>
      </w:r>
    </w:p>
    <w:p>
      <w:r>
        <w:t>韩非之前的法家有三派：</w:t>
      </w:r>
      <w:r>
        <w:rPr>
          <w:b/>
        </w:rPr>
        <w:t>商鞅重法、申不害重术、慎到重势</w:t>
      </w:r>
      <w:r>
        <w:t>。韩非以为“皆未得其全”，乃熔铸三者为一完整体系：</w:t>
      </w:r>
    </w:p>
    <w:p>
      <w:pPr>
        <w:pStyle w:val="Heading3"/>
      </w:pPr>
      <w:r>
        <w:t>（一）法：公开的成文法</w:t>
      </w:r>
    </w:p>
    <w:p>
      <w:r>
        <w:t>“法者，编著之图籍，设之于官府，而布之于百姓者也。”法之要义：</w:t>
      </w:r>
    </w:p>
    <w:p>
      <w:pPr>
        <w:pStyle w:val="ListBullet"/>
      </w:pPr>
      <w:r>
        <w:t>**因时制宜**：“治世不一道，便国不法古。”</w:t>
      </w:r>
    </w:p>
    <w:p>
      <w:pPr>
        <w:pStyle w:val="ListBullet"/>
      </w:pPr>
      <w:r>
        <w:t>**信赏必罚**：“法不阿贵，绳不挠曲。”</w:t>
      </w:r>
    </w:p>
    <w:p>
      <w:pPr>
        <w:pStyle w:val="ListBullet"/>
      </w:pPr>
      <w:r>
        <w:t>**以法为教，以吏为师**：“明主之国，无书简之文，以法为教。”</w:t>
      </w:r>
    </w:p>
    <w:p>
      <w:pPr>
        <w:pStyle w:val="Heading3"/>
      </w:pPr>
      <w:r>
        <w:t>（二）术：君主的驾驭之术</w:t>
      </w:r>
    </w:p>
    <w:p>
      <w:r>
        <w:t>术者，“因任而授官，循名而责实，操杀生之柄，课群臣之能者也”。术不欲见，藏于胸中，以阅群臣——包括循名责实、疑诏诡使、挟知而问等权术手段。</w:t>
      </w:r>
    </w:p>
    <w:p>
      <w:pPr>
        <w:pStyle w:val="Heading3"/>
      </w:pPr>
      <w:r>
        <w:t>（三）势：君主的权位之势</w:t>
      </w:r>
    </w:p>
    <w:p>
      <w:r>
        <w:t>“势者，胜众之资也。”飞龙乘云，腾蛇游雾——尧为匹夫，不能治三人；桀为天子，能乱天下。势为君之所独擅，“抱法处势则治，背法去势则乱”。</w:t>
      </w:r>
    </w:p>
    <w:p>
      <w:r>
        <w:t>法、术、势关系：</w:t>
      </w:r>
      <w:r>
        <w:rPr>
          <w:b/>
        </w:rPr>
        <w:t>法为臣民所共守，术为君主所独操，势为法术所凭依</w:t>
      </w:r>
      <w:r>
        <w:t>。三者相须，缺一不可。</w:t>
      </w:r>
    </w:p>
    <w:p>
      <w:pPr>
        <w:pStyle w:val="Heading2"/>
      </w:pPr>
      <w:r>
        <w:t>三、人性论根基</w:t>
      </w:r>
    </w:p>
    <w:p>
      <w:r>
        <w:t>韩非直承荀子性恶而更推其极：“好利恶害，夫人之所有也。”君臣之间无爱，“主利在有能而任官，臣利在无能而得事；主利在有劳而爵禄，臣利在无功而富贵”。父母之于子犹且“产男则相贺，产女则杀之”，况君臣乎？故不能以道德望人，唯可以利害驱之。“凡治天下，必因人情。人情者，有好恶，故赏罚可用。”</w:t>
      </w:r>
    </w:p>
    <w:p>
      <w:pPr>
        <w:pStyle w:val="Heading2"/>
      </w:pPr>
      <w:r>
        <w:t>四、历史进化论</w:t>
      </w:r>
    </w:p>
    <w:p>
      <w:r>
        <w:t>“上古之世，人民少而禽兽众……有圣人作，构木为巢。”“上古竞于道德，中世逐于智谋，当今争于气力。”世道日变，治道亦必日新：“世异则事异，事异则备变。”儒家称尧舜，墨家道大禹，皆“以文乱法”的“蠹”虫。</w:t>
      </w:r>
    </w:p>
    <w:p>
      <w:pPr>
        <w:pStyle w:val="Heading2"/>
      </w:pPr>
      <w:r>
        <w:t>五、评价</w:t>
      </w:r>
    </w:p>
    <w:p>
      <w:r>
        <w:t>韩非之学，极有效亦极危险。其效在秦并天下，其险在“过亲信太”——赵高指鹿为马时，法术势俱在而秦亡。汉儒董仲舒“阳儒阴法”之整合，正是对韩非遗产的吸纳与驯化。至于“法治”一词的现代转用，则更须辨明：韩非法治乃君主“以法治民”之具，非近代“rule of law”之治。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