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title：商鞅变法及其历史影响</w:t>
      </w:r>
    </w:p>
    <w:p>
      <w:r>
        <w:rPr>
          <w:b/>
        </w:rPr>
        <w:t>date：2026-04-05</w:t>
      </w:r>
    </w:p>
    <w:p>
      <w:r>
        <w:rPr>
          <w:b/>
        </w:rPr>
        <w:t>category：法家</w:t>
      </w:r>
    </w:p>
    <w:p>
      <w:r>
        <w:rPr>
          <w:b/>
        </w:rPr>
        <w:t>tags：[商鞅,变法,秦国,耕战]</w:t>
      </w:r>
    </w:p>
    <w:p>
      <w:pPr>
        <w:pStyle w:val="Heading1"/>
      </w:pPr>
      <w:r>
        <w:t>商鞅变法及其历史影响</w:t>
      </w:r>
    </w:p>
    <w:p>
      <w:pPr>
        <w:pStyle w:val="Heading2"/>
      </w:pPr>
      <w:r>
        <w:t>一、商鞅其人与入秦背景</w:t>
      </w:r>
    </w:p>
    <w:p>
      <w:r>
        <w:t>商鞅（约前390—前338），卫国人，故称卫鞅，又称公孙鞅。少好刑名之学，初仕魏相公叔痤为中庶子，不为惠王所用。秦孝公发求贤令，鞅携李悝《法经》入秦，三年说孝公以“强国之术”，任左庶长，先后两次变法（前356年、前350年），奠定秦制之基。孝公卒，惠文王立，商鞅被车裂，然“商君之法”终秦世不废。</w:t>
      </w:r>
    </w:p>
    <w:p>
      <w:pPr>
        <w:pStyle w:val="Heading2"/>
      </w:pPr>
      <w:r>
        <w:t>二、变法的主要内容</w:t>
      </w:r>
    </w:p>
    <w:p>
      <w:pPr>
        <w:pStyle w:val="Heading3"/>
      </w:pPr>
      <w:r>
        <w:t>第一次变法（前356年）</w:t>
      </w:r>
    </w:p>
    <w:p>
      <w:pPr>
        <w:pStyle w:val="ListNumber"/>
      </w:pPr>
      <w:r>
        <w:t>**什伍连坐**：“令民为什伍，而相牧司连坐。”民告奸者与斩敌首同赏，匿奸者与降敌同罚。</w:t>
      </w:r>
    </w:p>
    <w:p>
      <w:pPr>
        <w:pStyle w:val="ListNumber"/>
      </w:pPr>
      <w:r>
        <w:t>**奖励军功**：“有军功者，各以率受上爵。”宗室非有军功论，不得为属籍——**世卿世禄制被彻底打破**。</w:t>
      </w:r>
    </w:p>
    <w:p>
      <w:pPr>
        <w:pStyle w:val="ListNumber"/>
      </w:pPr>
      <w:r>
        <w:t>**重农抑商**：“僇力本业，耕织致粟帛多者复其身；事末利及怠而贫者，举以为收孥。”</w:t>
      </w:r>
    </w:p>
    <w:p>
      <w:pPr>
        <w:pStyle w:val="ListNumber"/>
      </w:pPr>
      <w:r>
        <w:t>**强制分家**：“民有二男以上不分异者，倍其赋。”以增加户赋、扩大小农。</w:t>
      </w:r>
    </w:p>
    <w:p>
      <w:pPr>
        <w:pStyle w:val="Heading3"/>
      </w:pPr>
      <w:r>
        <w:t>第二次变法（前350年）</w:t>
      </w:r>
    </w:p>
    <w:p>
      <w:pPr>
        <w:pStyle w:val="ListNumber"/>
      </w:pPr>
      <w:r>
        <w:t>**迁都咸阳**，筑冀阙，颁布新法。</w:t>
      </w:r>
    </w:p>
    <w:p>
      <w:pPr>
        <w:pStyle w:val="ListNumber"/>
      </w:pPr>
      <w:r>
        <w:t>**废井田，开阡陌**：“为田开阡陌封疆，而赋税平。”确立土地私有与买卖。</w:t>
      </w:r>
    </w:p>
    <w:p>
      <w:pPr>
        <w:pStyle w:val="ListNumber"/>
      </w:pPr>
      <w:r>
        <w:t>**推行县制**：集小乡邑为县，置令丞，凡四十一县——**郡县制之滥觞**。</w:t>
      </w:r>
    </w:p>
    <w:p>
      <w:pPr>
        <w:pStyle w:val="ListNumber"/>
      </w:pPr>
      <w:r>
        <w:t>**统一度量衡**：为赋税、贸易与行政之基础。</w:t>
      </w:r>
    </w:p>
    <w:p>
      <w:pPr>
        <w:pStyle w:val="ListNumber"/>
      </w:pPr>
      <w:r>
        <w:t>**移风易俗**：禁止父子兄弟同室而居，推行小家庭制。</w:t>
      </w:r>
    </w:p>
    <w:p>
      <w:pPr>
        <w:pStyle w:val="Heading2"/>
      </w:pPr>
      <w:r>
        <w:t>三、变法的逻辑：耕战为本</w:t>
      </w:r>
    </w:p>
    <w:p>
      <w:r>
        <w:t>商鞅变法的内在逻辑极为清晰：</w:t>
      </w:r>
      <w:r>
        <w:rPr>
          <w:b/>
        </w:rPr>
        <w:t>国之所以兴者，农战也。</w:t>
      </w:r>
      <w:r>
        <w:t xml:space="preserve"> 农者生粟，战者杀敌——生粟与杀敌皆可直接量化、直接赏罚。故其法以一切手段驱民于农战：“入令民以属农，出令民以计战。”</w:t>
      </w:r>
    </w:p>
    <w:p>
      <w:r>
        <w:t>辅以迁徙豪强、燔诗书而明法令、禁游宦之民（“废逆旅”），将整个国家重塑为一架以农战为唯一目标的机器。此即《商君书》所谓“利出一孔”。</w:t>
      </w:r>
    </w:p>
    <w:p>
      <w:pPr>
        <w:pStyle w:val="Heading2"/>
      </w:pPr>
      <w:r>
        <w:t>四、成效与代价</w:t>
      </w:r>
    </w:p>
    <w:p>
      <w:r>
        <w:t>成效卓著：行之十年，“秦民大说，道不拾遗，山无盗贼，家给人足；民勇于公战，怯于私斗，乡邑大治”。秦由此国富兵强，东向而争天下。</w:t>
      </w:r>
    </w:p>
    <w:p>
      <w:r>
        <w:t>代价亦惨烈：严刑峻法，“弃灰于道者刑”；思想管制，“燔诗书”；社会原子化，亲情让位于法。司马迁评曰：“商君，其天资刻薄人也……卒受恶名于秦，有以也夫！”</w:t>
      </w:r>
    </w:p>
    <w:p>
      <w:pPr>
        <w:pStyle w:val="Heading2"/>
      </w:pPr>
      <w:r>
        <w:t>五、历史影响</w:t>
      </w:r>
    </w:p>
    <w:p>
      <w:r>
        <w:t>商鞅虽死，秦法未败。韩非“法”派思想直接承自商鞅；云梦秦简《秦律》可见商君法之遗制；汉承秦制，郡县、编户齐民、律令体系皆源出于此。近代改革家（康有为、谭嗣同等）每以商鞅自况，称“各国变法无不从流血而成”——商鞅变法，实为帝制中国制度创新的最大实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