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title：慎到势治思想与《慎子》</w:t>
      </w:r>
    </w:p>
    <w:p>
      <w:r>
        <w:rPr>
          <w:b/>
        </w:rPr>
        <w:t>date：2026-04-15</w:t>
      </w:r>
    </w:p>
    <w:p>
      <w:r>
        <w:rPr>
          <w:b/>
        </w:rPr>
        <w:t>category：法家</w:t>
      </w:r>
    </w:p>
    <w:p>
      <w:r>
        <w:rPr>
          <w:b/>
        </w:rPr>
        <w:t>tags：[慎到,势治,黄老,齐物]</w:t>
      </w:r>
    </w:p>
    <w:p>
      <w:pPr>
        <w:pStyle w:val="Heading1"/>
      </w:pPr>
      <w:r>
        <w:t>慎到势治思想与《慎子》</w:t>
      </w:r>
    </w:p>
    <w:p>
      <w:pPr>
        <w:pStyle w:val="Heading2"/>
      </w:pPr>
      <w:r>
        <w:t>一、慎到的生平行迹</w:t>
      </w:r>
    </w:p>
    <w:p>
      <w:r>
        <w:t>慎到（约前390—前315），赵国人，早年学“黄老道德之术”，与田骈、接子、环渊等同游稷下学宫，皆赐列第为上大夫。《史记》将其列入道家一传；《汉书·艺文志》则著录“《慎子》四十二篇”，入法家。其人一身而系二家，正可见战国学术交融之貌。</w:t>
      </w:r>
    </w:p>
    <w:p>
      <w:pPr>
        <w:pStyle w:val="Heading2"/>
      </w:pPr>
      <w:r>
        <w:t>二、从天人之分说到弃知去己</w:t>
      </w:r>
    </w:p>
    <w:p>
      <w:r>
        <w:t>慎到的道家底色，在其“弃知去己”之论：“天能覆之而不能载之，地能载之而不能覆之，大道能包之而不能辩之。”故圣人“不师知虑，不知前后”，“任自然者久，得其常者济”。</w:t>
      </w:r>
    </w:p>
    <w:p>
      <w:pPr>
        <w:pStyle w:val="IntenseQuote"/>
      </w:pPr>
      <w:r>
        <w:t>毛嫱、西施，天下之至姣也，衣之以皮具，则见者皆走；易之以玄緆，则行者皆止。由是观之，则玄緆色之助也，姣者辞之则色厌矣。</w:t>
      </w:r>
    </w:p>
    <w:p>
      <w:r>
        <w:t>美色须衣饰之助，贤才须权势之助——此其由道家转入法家之枢机。</w:t>
      </w:r>
    </w:p>
    <w:p>
      <w:pPr>
        <w:pStyle w:val="Heading2"/>
      </w:pPr>
      <w:r>
        <w:t>三、“势”论：法家权力政治学的基石</w:t>
      </w:r>
    </w:p>
    <w:p>
      <w:r/>
      <w:r>
        <w:rPr>
          <w:b/>
        </w:rPr>
        <w:t>“势”即客观化的权位力量</w:t>
      </w:r>
      <w:r>
        <w:t>。慎到以飞龙腾蛇为喻：“腾蛇游雾，飞龙乘云，云罢雾霁，而龙蛇与蚓蚁同矣，则失其所乘也。”尧为匹夫不能治三人，桀为天子足以乱天下——“势位之足恃，而贤智之不足慕”。</w:t>
      </w:r>
    </w:p>
    <w:p>
      <w:r>
        <w:t>其推论有二：</w:t>
      </w:r>
    </w:p>
    <w:p>
      <w:pPr>
        <w:pStyle w:val="ListNumber"/>
      </w:pPr>
      <w:r>
        <w:t>**否定尚贤**：“立天子以为天下也，非立天下以为天子也；立国君以为国也，非立国以为君也。”权位为天下之公器，非贤者之私产——若为尚贤，则人人可欲其位，天下乱矣。</w:t>
      </w:r>
    </w:p>
    <w:p>
      <w:pPr>
        <w:pStyle w:val="ListNumber"/>
      </w:pPr>
      <w:r>
        <w:t>**势须法以制约**：“大君任法而弗躬，则事断于法矣。”君主权势须纳入法的轨道，“法之功莫大使私不行”，“官不私亲，法不遗爱”。</w:t>
      </w:r>
    </w:p>
    <w:p>
      <w:pPr>
        <w:pStyle w:val="Heading2"/>
      </w:pPr>
      <w:r>
        <w:t>四、“因循”哲学：君无为而臣有为</w:t>
      </w:r>
    </w:p>
    <w:p>
      <w:r>
        <w:t>慎到吸收黄老“因循”之说：“天道因则大，化则细。因也者，因人之情也。”圣人“因民之能为资，尽包而畜之，无能去取焉”。君道无为——“君臣之道，臣事事而君无事，君逸乐而臣任劳”；臣道有为——“事断于法”。此说上承黄老，下启韩非“术”论。</w:t>
      </w:r>
    </w:p>
    <w:p>
      <w:pPr>
        <w:pStyle w:val="Heading2"/>
      </w:pPr>
      <w:r>
        <w:t>五、《慎子》版本与余论</w:t>
      </w:r>
    </w:p>
    <w:p>
      <w:r>
        <w:t>《慎子》宋时已残，今存《威德》《因循》《民杂》《知忠》《德立》等七篇，另有《慎子内外篇》辑本。钱熙祚校本最为通行。</w:t>
      </w:r>
    </w:p>
    <w:p>
      <w:r>
        <w:t>慎到在法家谱系中的地位常被忽视，然细按之：商鞅之法须有势以行之，申不害之术须恃势以藏之；韩非“抱法处势”的命题，正是以慎到“势治”为前提的。无慎到之“势”，则商申之学皆为无本之木。稷下学士一席之论，遂成帝制中国权力结构的深层语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