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title：《庄子·逍遥游》义疏</w:t>
      </w:r>
    </w:p>
    <w:p>
      <w:r>
        <w:rPr>
          <w:b/>
        </w:rPr>
        <w:t>date：2026-03-05</w:t>
      </w:r>
    </w:p>
    <w:p>
      <w:r>
        <w:rPr>
          <w:b/>
        </w:rPr>
        <w:t>category：道家</w:t>
      </w:r>
    </w:p>
    <w:p>
      <w:r>
        <w:rPr>
          <w:b/>
        </w:rPr>
        <w:t>tags：[庄子,逍遥游,齐物,无待]</w:t>
      </w:r>
    </w:p>
    <w:p>
      <w:pPr>
        <w:pStyle w:val="Heading1"/>
      </w:pPr>
      <w:r>
        <w:t>《庄子·逍遥游》义疏</w:t>
      </w:r>
    </w:p>
    <w:p>
      <w:pPr>
        <w:pStyle w:val="Heading2"/>
      </w:pPr>
      <w:r>
        <w:t>一、逍遥游题解</w:t>
      </w:r>
    </w:p>
    <w:p>
      <w:r>
        <w:t>《逍遥游》为《庄子》内七篇之首，郭象注：“夫小大虽殊，而放于自得之场，则物任其性，事称其能，各当其分，逍遥一也。”逍遥者，精神绝对自由之谓。全文以寓言、重言、卮言三种笔法，层层破斥世俗价值，直显无待之境。</w:t>
      </w:r>
    </w:p>
    <w:p>
      <w:pPr>
        <w:pStyle w:val="Heading2"/>
      </w:pPr>
      <w:r>
        <w:t>二、小大之辩：鲲鹏与蜩鸠</w:t>
      </w:r>
    </w:p>
    <w:p>
      <w:pPr>
        <w:pStyle w:val="IntenseQuote"/>
      </w:pPr>
      <w:r>
        <w:t>北冥有鱼，其名为鲲。鲲之大，不知其几千里也；化而为鸟，其名为鹏。</w:t>
      </w:r>
    </w:p>
    <w:p>
      <w:r>
        <w:t>鲲鹏飞徙南冥，“水击三千里，抟扶摇而上者九万里”；而蜩与学鸠笑之曰：“我决起而飞，抢榆枋而止，时则不至，而控于地而已矣，奚以之九万里而南为？”</w:t>
      </w:r>
    </w:p>
    <w:p>
      <w:r>
        <w:t>小知不及大知，小年不及大年。朝菌不知晦朔，蟪蛄不知春秋；楚之南有冥灵者，以五百岁为春，五百岁为秋。世俗之笑大鹏者，正以其局于小大之量，不知“小大之辩”也。</w:t>
      </w:r>
    </w:p>
    <w:p>
      <w:pPr>
        <w:pStyle w:val="Heading2"/>
      </w:pPr>
      <w:r>
        <w:t>三、有待与无待</w:t>
      </w:r>
    </w:p>
    <w:p>
      <w:r>
        <w:t>列子御风而行，“泠然善也”，然犹有所待者也——有待于风。若夫“乘天地之正，而御六气之辩，以游无穷者，彼且恶乎待哉”！</w:t>
      </w:r>
      <w:r>
        <w:rPr>
          <w:b/>
        </w:rPr>
        <w:t>无待</w:t>
      </w:r>
      <w:r>
        <w:t>者，不依赖任何外在条件，因循天地万物之本然（正），驾驭阴阳风雨晦明之变，而游于无穷。</w:t>
      </w:r>
    </w:p>
    <w:p>
      <w:r>
        <w:t>故逍遥之实有三等：“至人无己，神人无功，圣人无名。”至人无己，消融小我；神人无功，不以功业自恃；圣人无名，不居名位。三者层层递进，指向主体的彻底解放。</w:t>
      </w:r>
    </w:p>
    <w:p>
      <w:pPr>
        <w:pStyle w:val="Heading2"/>
      </w:pPr>
      <w:r>
        <w:t>四、尧让天下与许由</w:t>
      </w:r>
    </w:p>
    <w:p>
      <w:r>
        <w:t>尧让天下于许由，许由曰：“名者，实之宾也。吾将为宾乎？”归休乎君，予无所用天下为！大瓠与大树之喻亦在说明：世俗所谓无用，正所以为大用——“人皆知有用之用，而莫知无用之用也”。</w:t>
      </w:r>
    </w:p>
    <w:p>
      <w:pPr>
        <w:pStyle w:val="Heading2"/>
      </w:pPr>
      <w:r>
        <w:t>五、庄学与儒家自由观之比较</w:t>
      </w:r>
    </w:p>
    <w:p>
      <w:r>
        <w:t>儒家之自由，在道德自律——“从心所欲不逾矩”；庄子之自由，在破除外在规范对生命的束缚——“不谴是非，以与世俗处”。一为入世的担当，一为出世的超越；儒道互补，恰成中国文化精神的两翼。魏晋名士之风流、李太白之诗酒、苏轼之旷达，皆得《逍遥游》之余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