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title：无为而治：黄老政治哲学</w:t>
      </w:r>
    </w:p>
    <w:p>
      <w:r>
        <w:rPr>
          <w:b/>
        </w:rPr>
        <w:t>date：2026-03-15</w:t>
      </w:r>
    </w:p>
    <w:p>
      <w:r>
        <w:rPr>
          <w:b/>
        </w:rPr>
        <w:t>category：道家</w:t>
      </w:r>
    </w:p>
    <w:p>
      <w:r>
        <w:rPr>
          <w:b/>
        </w:rPr>
        <w:t>tags：[无为而治,黄老,治道]</w:t>
      </w:r>
    </w:p>
    <w:p>
      <w:pPr>
        <w:pStyle w:val="Heading1"/>
      </w:pPr>
      <w:r>
        <w:t>无为而治：黄老政治哲学</w:t>
      </w:r>
    </w:p>
    <w:p>
      <w:pPr>
        <w:pStyle w:val="Heading2"/>
      </w:pPr>
      <w:r>
        <w:t>一、从老庄到黄老</w:t>
      </w:r>
    </w:p>
    <w:p>
      <w:r>
        <w:t>老庄之学偏重个人精神自由，至战国中晚期，稷下学士整合道家、法家、儒家而成“黄老之学”——托名黄帝，宗本老子。其书存于《黄帝四经》《管子》四篇等。黄老之学将“无为”从人生哲学转化为系统的</w:t>
      </w:r>
      <w:r>
        <w:rPr>
          <w:b/>
        </w:rPr>
        <w:t>君人南面之术</w:t>
      </w:r>
      <w:r>
        <w:t>。</w:t>
      </w:r>
    </w:p>
    <w:p>
      <w:pPr>
        <w:pStyle w:val="Heading2"/>
      </w:pPr>
      <w:r>
        <w:t>二、“无为”的正解</w:t>
      </w:r>
    </w:p>
    <w:p>
      <w:r>
        <w:t>黄老所谓无为，绝非君主任其自流的怠政：</w:t>
      </w:r>
    </w:p>
    <w:p>
      <w:pPr>
        <w:pStyle w:val="IntenseQuote"/>
      </w:pPr>
      <w:r>
        <w:t>上德无为而无不为也。（《黄帝四经》）</w:t>
      </w:r>
    </w:p>
    <w:p>
      <w:r>
        <w:t>君无为而臣有为：“君执本，臣执末；君无为，臣有为。”君主“执道”以御群臣——形名参同，循名责实。其治术可析为三：</w:t>
      </w:r>
    </w:p>
    <w:p>
      <w:pPr>
        <w:pStyle w:val="ListNumber"/>
      </w:pPr>
      <w:r>
        <w:t>**虚无为本**：君心虚静，“去私而立公”，不惑于谗佞。</w:t>
      </w:r>
    </w:p>
    <w:p>
      <w:pPr>
        <w:pStyle w:val="ListNumber"/>
      </w:pPr>
      <w:r>
        <w:t>**因循为用**：“因天时，就地利，依人心”，因民之欲而利导之。</w:t>
      </w:r>
    </w:p>
    <w:p>
      <w:pPr>
        <w:pStyle w:val="ListNumber"/>
      </w:pPr>
      <w:r>
        <w:t>**刑德相辅**：“春夏为德，秋冬为刑，先德后刑以养生。”德为主，刑为辅。</w:t>
      </w:r>
    </w:p>
    <w:p>
      <w:pPr>
        <w:pStyle w:val="Heading2"/>
      </w:pPr>
      <w:r>
        <w:t>三、《管子》四篇的治道</w:t>
      </w:r>
    </w:p>
    <w:p>
      <w:r>
        <w:t>《心术》《白心》《内业》诸篇提出：“心安是国安也，心治是国治也。”君先治其心，然后治天下。“静因之道”——“因也者，舍己而以物为法者也”——成为认识与政治的双重原则。</w:t>
      </w:r>
    </w:p>
    <w:p>
      <w:pPr>
        <w:pStyle w:val="Heading2"/>
      </w:pPr>
      <w:r>
        <w:t>四、汉初的实践证明</w:t>
      </w:r>
    </w:p>
    <w:p>
      <w:r>
        <w:t>秦以繁法苛政二世而亡，陆贾《新语》倡“无为而治”，贾谊《过秦论》反思“仁义不施而攻守之势异也”。于是有萧规曹随：“举事无所变更，一遵萧何约束。”曹参为相，日饮醇酒，惠帝怪之，参对曰：“陛下垂拱，参等守职，遵而勿失，不亦可乎？”</w:t>
      </w:r>
    </w:p>
    <w:p>
      <w:r>
        <w:t>七十余年休养生息，至武帝初年，“都鄙廪庾皆满，而府库余货财；京师之钱累巨万，贯朽而不可校”（《史记·平准书》）。无为而治之效，于史有征。</w:t>
      </w:r>
    </w:p>
    <w:p>
      <w:pPr>
        <w:pStyle w:val="Heading2"/>
      </w:pPr>
      <w:r>
        <w:t>五、评价与余论</w:t>
      </w:r>
    </w:p>
    <w:p>
      <w:r>
        <w:t>黄老之学是道家理想与帝国治理的第一次成功联姻。其弊亦显——豪强兼并，武备废弛，终武帝而罢黜百家。然“治大国若烹小鲜”的智慧深植于此后两千年：历代开国之初，几无不以清静无为与民休息为施政纲领。无为而治，实为帝国政治的周期性调节机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