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icrosoft YaHei" w:eastAsia="Microsoft YaHei" w:hAnsi="Microsoft YaHei"/>
          <w:b/>
          <w:bCs/>
          <w:i w:val="false"/>
          <w:iCs w:val="false"/>
          <w:sz w:val="36"/>
          <w:szCs w:val="36"/>
        </w:rPr>
        <w:t xml:space="preserve">孟子性善论与仁政学说</w:t>
      </w:r>
    </w:p>
    <w:p>
      <w:pPr>
        <w:spacing w:after="200"/>
      </w:pPr>
      <w:r>
        <w:rPr>
          <w:rFonts w:ascii="Microsoft YaHei" w:eastAsia="Microsoft YaHei" w:hAnsi="Microsoft YaHei"/>
          <w:b w:val="false"/>
          <w:bCs w:val="false"/>
          <w:i/>
          <w:iCs/>
          <w:sz w:val="20"/>
          <w:szCs w:val="20"/>
        </w:rPr>
        <w:t xml:space="preserve">学派：儒学　·　部类：经部·书类　·　日期：2026-02-05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引言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孟子承孔子而倡“性善”，以心性之学为“仁政”奠基，将儒家由个人德行推向“心性”与“制度”两层，开宋明理学之先声。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一、四端说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恻隐之心，仁之端也；羞恶之心，义之端也；辞让之心，礼之端也；是非之心，智之端也。人之有是四端也，犹其有四体也。（《孟子·公孙丑上》）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【解读】仁义礼智非由外铄，乃本具于心之“四端”（萌芽）。正如人皆有四肢，人皆有不忍人之心。工夫只在“扩而充之”，则“若火之始然，泉之始达”，自然成圣。此即“人皆可以为尧舜”的人性论根据。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二、制民之产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明君制民之产，必使仰足以事父母，俯足以畜妻子，乐岁终身饱，凶年免于死亡。（《孟子·梁惠王上》）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【解读】仁政须有经济根基：先使民有“恒产”，而后有“恒心”。所谓“五亩之宅，树之以桑”“百亩之田，勿夺其时”，使养生丧死无憾，方谈礼义。此即“民生—教化”的逻辑次序，至今仍有政策启益。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三、民贵君轻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民为贵，社稷次之，君为轻。（《孟子·尽心下》）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贼仁者谓之贼，贼义者谓之残，残贼之人谓之一夫。闻诛一夫纣矣，未闻弑君也。（《孟子·梁惠王下》）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【解读】政权合法性以民心为归。失仁失义之君，已沦为“独夫”，革之有名。此为民本思想之极致，亦为后世“汤武革命，顺乎天而应乎人”提供理论依据，构成中国传统中约束君权的重要思想资源。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小结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性善论为仁政提供人性根据，制民之产为之提供物质前提，民贵君轻为之划定权力边界——三者一贯，构成孟子政治哲学之骨架，亦使儒家首具系统的民本宪政雏形。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2026-09-09T14:32:42.701Z</dcterms:created>
  <dcterms:modified xsi:type="dcterms:W3CDTF">2026-09-09T14:32:42.701Z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