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icrosoft YaHei" w:eastAsia="Microsoft YaHei" w:hAnsi="Microsoft YaHei"/>
          <w:b/>
          <w:bCs/>
          <w:i w:val="false"/>
          <w:iCs w:val="false"/>
          <w:sz w:val="36"/>
          <w:szCs w:val="36"/>
        </w:rPr>
        <w:t xml:space="preserve">庄子逍遥游义疏</w:t>
      </w:r>
    </w:p>
    <w:p>
      <w:pPr>
        <w:spacing w:after="200"/>
      </w:pPr>
      <w:r>
        <w:rPr>
          <w:rFonts w:ascii="Microsoft YaHei" w:eastAsia="Microsoft YaHei" w:hAnsi="Microsoft YaHei"/>
          <w:b w:val="false"/>
          <w:bCs w:val="false"/>
          <w:i/>
          <w:iCs/>
          <w:sz w:val="20"/>
          <w:szCs w:val="20"/>
        </w:rPr>
        <w:t xml:space="preserve">学派：道学　·　部类：子部·道家类　·　日期：2026-03-05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引言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《逍遥游》为《庄子》内篇之首，借鲲鹏寓言，破大小、物我、荣辱之对待，以达“无待”之绝对自由。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一、小大之辩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小知不及大知，小年不及大年。……朝菌不知晦朔，蟪蛄不知春秋。（《庄子·逍遥游》）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【解读】认知受限于生命格局。世俗以一己尺度为绝对，如蜩与学鸠笑鹏，未见天地之全。小大之辩，意在拉开视野，使人从狭隘中跳出。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二、有待与无待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夫列子御风而行，泠然善也，旬有五日而后反。彼于致福者，未数数然也。此虽免乎行，犹有所待者也。（《庄子·逍遥游》）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若夫乘天地之正，而御六气之辩，以游无穷者，彼且恶乎待哉！（《庄子·逍遥游》）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【解读】列子御风，仍“有待”于风；唯有顺天地之正、御阴阳之变、游于无穷者，方“无待”——不依赖任何外在条件。逍遥之境，正在“无待”。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三、无己、无功、无名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至人无己，神人无功，圣人无名。（《庄子·逍遥游》）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【解读】无待之境，在于破三重执：无己（忘小我）、无功（舍功利）、无名（弃虚誉）。卸下一切外在羁绊，方能与道同游。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四、与儒家自由观之比较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儒家之自由，是“从心所欲不逾矩”——在礼序中求自由；道家之自由，是“无待于物”——在超越对待中求自由。一为“秩序中的自由”，一为“超越的自由”，二者互补而非相斥，共同构成中国人对“自在”的双向理解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小结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《逍遥游》之“逍遥”，非纵情放肆，而是勘破大小、物我、荣辱之后，精神与道同游的绝对自在。其破执之智，于被功利裹挟的当代尤具解药之效。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2026-09-09T14:32:42.727Z</dcterms:created>
  <dcterms:modified xsi:type="dcterms:W3CDTF">2026-09-09T14:32:42.727Z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