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Proposed Solution Template</w:t>
      </w:r>
    </w:p>
    <w:tbl>
      <w:tblPr>
        <w:tblStyle w:val="TableGrid"/>
        <w:tblW w:type="auto" w:w="0"/>
        <w:jc w:val="center"/>
        <w:tblLook w:firstColumn="1" w:firstRow="1" w:lastColumn="0" w:lastRow="0" w:noHBand="0" w:noVBand="1" w:val="04A0"/>
      </w:tblPr>
      <w:tblGrid>
        <w:gridCol w:w="5256"/>
        <w:gridCol w:w="5256"/>
      </w:tblGrid>
      <w:tr>
        <w:tc>
          <w:tcPr>
            <w:tcW w:type="dxa" w:w="5256"/>
          </w:tcPr>
          <w:p>
            <w:r>
              <w:rPr>
                <w:b/>
              </w:rPr>
              <w:t>Field</w:t>
            </w:r>
          </w:p>
        </w:tc>
        <w:tc>
          <w:tcPr>
            <w:tcW w:type="dxa" w:w="5256"/>
          </w:tcPr>
          <w:p>
            <w:r>
              <w:rPr>
                <w:b/>
              </w:rPr>
              <w:t>Details</w:t>
            </w:r>
          </w:p>
        </w:tc>
      </w:tr>
      <w:tr>
        <w:tc>
          <w:tcPr>
            <w:tcW w:type="dxa" w:w="5256"/>
            <w:vAlign w:val="top"/>
          </w:tcPr>
          <w:p>
            <w:pPr>
              <w:spacing w:after="0"/>
            </w:pPr>
            <w:r>
              <w:t>Date</w:t>
            </w:r>
          </w:p>
        </w:tc>
        <w:tc>
          <w:tcPr>
            <w:tcW w:type="dxa" w:w="5256"/>
            <w:vAlign w:val="top"/>
          </w:tcPr>
          <w:p>
            <w:pPr>
              <w:spacing w:after="0"/>
            </w:pPr>
            <w:r>
              <w:t>30 September 2026</w:t>
            </w:r>
          </w:p>
        </w:tc>
      </w:tr>
      <w:tr>
        <w:tc>
          <w:tcPr>
            <w:tcW w:type="dxa" w:w="5256"/>
            <w:vAlign w:val="top"/>
          </w:tcPr>
          <w:p>
            <w:pPr>
              <w:spacing w:after="0"/>
            </w:pPr>
            <w:r>
              <w:t>Team ID</w:t>
            </w:r>
          </w:p>
        </w:tc>
        <w:tc>
          <w:tcPr>
            <w:tcW w:type="dxa" w:w="5256"/>
            <w:vAlign w:val="top"/>
          </w:tcPr>
          <w:p>
            <w:pPr>
              <w:spacing w:after="0"/>
            </w:pPr>
            <w:r>
              <w:t>SWTID-2026-5400</w:t>
            </w:r>
          </w:p>
        </w:tc>
      </w:tr>
      <w:tr>
        <w:tc>
          <w:tcPr>
            <w:tcW w:type="dxa" w:w="5256"/>
            <w:vAlign w:val="top"/>
          </w:tcPr>
          <w:p>
            <w:pPr>
              <w:spacing w:after="0"/>
            </w:pPr>
            <w:r>
              <w:t>Project Name</w:t>
            </w:r>
          </w:p>
        </w:tc>
        <w:tc>
          <w:tcPr>
            <w:tcW w:type="dxa" w:w="5256"/>
            <w:vAlign w:val="top"/>
          </w:tcPr>
          <w:p>
            <w:pPr>
              <w:spacing w:after="0"/>
            </w:pPr>
            <w:r>
              <w:t>ComicCraft – AI Comic Story Creator using Gemini Models</w:t>
            </w:r>
          </w:p>
        </w:tc>
      </w:tr>
      <w:tr>
        <w:tc>
          <w:tcPr>
            <w:tcW w:type="dxa" w:w="5256"/>
            <w:vAlign w:val="top"/>
          </w:tcPr>
          <w:p>
            <w:pPr>
              <w:spacing w:after="0"/>
            </w:pPr>
            <w:r>
              <w:t>Maximum Marks</w:t>
            </w:r>
          </w:p>
        </w:tc>
        <w:tc>
          <w:tcPr>
            <w:tcW w:type="dxa" w:w="5256"/>
            <w:vAlign w:val="top"/>
          </w:tcPr>
          <w:p>
            <w:pPr>
              <w:spacing w:after="0"/>
            </w:pPr>
            <w:r>
              <w:t>2 Marks</w:t>
            </w:r>
          </w:p>
        </w:tc>
      </w:tr>
    </w:tbl>
    <w:p>
      <w:r>
        <w:rPr>
          <w:b/>
        </w:rPr>
        <w:t>Proposed Solution Template:</w:t>
      </w:r>
    </w:p>
    <w:p>
      <w: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rPr>
              <w:t>S.No.</w:t>
            </w:r>
          </w:p>
        </w:tc>
        <w:tc>
          <w:tcPr>
            <w:tcW w:type="dxa" w:w="3504"/>
          </w:tcPr>
          <w:p>
            <w:r>
              <w:rPr>
                <w:b/>
              </w:rPr>
              <w:t>Parameter</w:t>
            </w:r>
          </w:p>
        </w:tc>
        <w:tc>
          <w:tcPr>
            <w:tcW w:type="dxa" w:w="3504"/>
          </w:tcPr>
          <w:p>
            <w:r>
              <w:rPr>
                <w:b/>
              </w:rPr>
              <w:t>Description</w:t>
            </w:r>
          </w:p>
        </w:tc>
      </w:tr>
      <w:tr>
        <w:tc>
          <w:tcPr>
            <w:tcW w:type="dxa" w:w="3504"/>
            <w:vAlign w:val="top"/>
          </w:tcPr>
          <w:p>
            <w:pPr>
              <w:spacing w:after="0"/>
            </w:pPr>
            <w:r>
              <w:t>1.</w:t>
            </w:r>
          </w:p>
        </w:tc>
        <w:tc>
          <w:tcPr>
            <w:tcW w:type="dxa" w:w="3504"/>
            <w:vAlign w:val="top"/>
          </w:tcPr>
          <w:p>
            <w:pPr>
              <w:spacing w:after="0"/>
            </w:pPr>
            <w:r>
              <w:t>Problem Statement (Problem to be solved)</w:t>
            </w:r>
          </w:p>
        </w:tc>
        <w:tc>
          <w:tcPr>
            <w:tcW w:type="dxa" w:w="3504"/>
            <w:vAlign w:val="top"/>
          </w:tcPr>
          <w:p>
            <w:pPr>
              <w:spacing w:after="0"/>
            </w:pPr>
            <w:r>
              <w:t>Creating a complete comic manually requires significant time and effort for story planning, narration, dialogue, illustration, panel arrangement, and final formatting. Users may also need separate tools for writing, image creation, layout and PDF export.</w:t>
            </w:r>
          </w:p>
        </w:tc>
      </w:tr>
      <w:tr>
        <w:tc>
          <w:tcPr>
            <w:tcW w:type="dxa" w:w="3504"/>
            <w:vAlign w:val="top"/>
          </w:tcPr>
          <w:p>
            <w:pPr>
              <w:spacing w:after="0"/>
            </w:pPr>
            <w:r>
              <w:t>2.</w:t>
            </w:r>
          </w:p>
        </w:tc>
        <w:tc>
          <w:tcPr>
            <w:tcW w:type="dxa" w:w="3504"/>
            <w:vAlign w:val="top"/>
          </w:tcPr>
          <w:p>
            <w:pPr>
              <w:spacing w:after="0"/>
            </w:pPr>
            <w:r>
              <w:t>Idea / Solution description</w:t>
            </w:r>
          </w:p>
        </w:tc>
        <w:tc>
          <w:tcPr>
            <w:tcW w:type="dxa" w:w="3504"/>
            <w:vAlign w:val="top"/>
          </w:tcPr>
          <w:p>
            <w:pPr>
              <w:spacing w:after="0"/>
            </w:pPr>
            <w:r>
              <w:t>ComicCraft is an AI-powered web application that transforms a user's story prompt and preferences into a personalized comic. It uses Gemini Flash to create a structured five-panel comic outline, Gemini Pro to generate detailed narration and character dialogue, and Stable Diffusion to generate comic-style illustrations. The application then assembles the panels, provides a preview, and exports the completed comic as a PDF.</w:t>
            </w:r>
          </w:p>
        </w:tc>
      </w:tr>
      <w:tr>
        <w:tc>
          <w:tcPr>
            <w:tcW w:type="dxa" w:w="3504"/>
            <w:vAlign w:val="top"/>
          </w:tcPr>
          <w:p>
            <w:pPr>
              <w:spacing w:after="0"/>
            </w:pPr>
            <w:r>
              <w:t>3.</w:t>
            </w:r>
          </w:p>
        </w:tc>
        <w:tc>
          <w:tcPr>
            <w:tcW w:type="dxa" w:w="3504"/>
            <w:vAlign w:val="top"/>
          </w:tcPr>
          <w:p>
            <w:pPr>
              <w:spacing w:after="0"/>
            </w:pPr>
            <w:r>
              <w:t>Novelty / Uniqueness</w:t>
            </w:r>
          </w:p>
        </w:tc>
        <w:tc>
          <w:tcPr>
            <w:tcW w:type="dxa" w:w="3504"/>
            <w:vAlign w:val="top"/>
          </w:tcPr>
          <w:p>
            <w:pPr>
              <w:spacing w:after="0"/>
            </w:pPr>
            <w:r>
              <w:t>Combines AI-generated structured comic storytelling, character dialogue, narration, and comic-style image generation in one workflow. It connects text-generation models and image-generation technology with panel layout, preview and PDF export so that a user can create a complete comic from a single creative idea.</w:t>
            </w:r>
          </w:p>
        </w:tc>
      </w:tr>
      <w:tr>
        <w:tc>
          <w:tcPr>
            <w:tcW w:type="dxa" w:w="3504"/>
            <w:vAlign w:val="top"/>
          </w:tcPr>
          <w:p>
            <w:pPr>
              <w:spacing w:after="0"/>
            </w:pPr>
            <w:r>
              <w:t>4.</w:t>
            </w:r>
          </w:p>
        </w:tc>
        <w:tc>
          <w:tcPr>
            <w:tcW w:type="dxa" w:w="3504"/>
            <w:vAlign w:val="top"/>
          </w:tcPr>
          <w:p>
            <w:pPr>
              <w:spacing w:after="0"/>
            </w:pPr>
            <w:r>
              <w:t>Social Impact / Customer Satisfaction</w:t>
            </w:r>
          </w:p>
        </w:tc>
        <w:tc>
          <w:tcPr>
            <w:tcW w:type="dxa" w:w="3504"/>
            <w:vAlign w:val="top"/>
          </w:tcPr>
          <w:p>
            <w:pPr>
              <w:spacing w:after="0"/>
            </w:pPr>
            <w:r>
              <w:t>Reduces the effort required to create comics, makes creative storytelling more accessible to users without professional drawing or design skills, and allows users to quickly turn ideas into visual stories that can be previewed and shared as a PDF.</w:t>
            </w:r>
          </w:p>
        </w:tc>
      </w:tr>
      <w:tr>
        <w:tc>
          <w:tcPr>
            <w:tcW w:type="dxa" w:w="3504"/>
            <w:vAlign w:val="top"/>
          </w:tcPr>
          <w:p>
            <w:pPr>
              <w:spacing w:after="0"/>
            </w:pPr>
            <w:r>
              <w:t>5.</w:t>
            </w:r>
          </w:p>
        </w:tc>
        <w:tc>
          <w:tcPr>
            <w:tcW w:type="dxa" w:w="3504"/>
            <w:vAlign w:val="top"/>
          </w:tcPr>
          <w:p>
            <w:pPr>
              <w:spacing w:after="0"/>
            </w:pPr>
            <w:r>
              <w:t>Business Model (Revenue Model)</w:t>
            </w:r>
          </w:p>
        </w:tc>
        <w:tc>
          <w:tcPr>
            <w:tcW w:type="dxa" w:w="3504"/>
            <w:vAlign w:val="top"/>
          </w:tcPr>
          <w:p>
            <w:pPr>
              <w:spacing w:after="0"/>
            </w:pPr>
            <w:r>
              <w:t>Potential revenue models include subscription-based access to advanced comic generation, usage-based plans for AI-generated stories and illustrations, premium art styles or higher-generation limits, and educational or organizational plans for creative content teams.</w:t>
            </w:r>
          </w:p>
        </w:tc>
      </w:tr>
      <w:tr>
        <w:tc>
          <w:tcPr>
            <w:tcW w:type="dxa" w:w="3504"/>
            <w:vAlign w:val="top"/>
          </w:tcPr>
          <w:p>
            <w:pPr>
              <w:spacing w:after="0"/>
            </w:pPr>
            <w:r>
              <w:t>6.</w:t>
            </w:r>
          </w:p>
        </w:tc>
        <w:tc>
          <w:tcPr>
            <w:tcW w:type="dxa" w:w="3504"/>
            <w:vAlign w:val="top"/>
          </w:tcPr>
          <w:p>
            <w:pPr>
              <w:spacing w:after="0"/>
            </w:pPr>
            <w:r>
              <w:t>Scalability of the Solution</w:t>
            </w:r>
          </w:p>
        </w:tc>
        <w:tc>
          <w:tcPr>
            <w:tcW w:type="dxa" w:w="3504"/>
            <w:vAlign w:val="top"/>
          </w:tcPr>
          <w:p>
            <w:pPr>
              <w:spacing w:after="0"/>
            </w:pPr>
            <w:r>
              <w:t>The modular FastAPI-based architecture can be extended with additional AI/LLM providers, more image-generation models, additional art styles, larger panel formats, user accounts, cloud storage, analytics, collaboration features, mobile or web deployment improvements, and higher-capacity infrastructure as usage grows.</w:t>
            </w:r>
          </w:p>
        </w:tc>
      </w:tr>
    </w:tbl>
    <w:p>
      <w:r>
        <w:rPr>
          <w:b/>
        </w:rPr>
        <w:t xml:space="preserve">College: </w:t>
      </w:r>
      <w:r>
        <w:t>C.T.T.E. College for Women</w:t>
      </w:r>
    </w:p>
    <w:p>
      <w:r>
        <w:rPr>
          <w:b/>
        </w:rPr>
        <w:t xml:space="preserve">Team: </w:t>
      </w:r>
      <w:r>
        <w:t>Reshma S (Team Leader); Rithika R; Saaniya Ruzdha N; Rayhana Banu M</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