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8"/>
        </w:rPr>
        <w:t>Proposed Solution Template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center"/>
            </w:pPr>
            <w:r/>
            <w:r>
              <w:rPr>
                <w:rFonts w:ascii="Times New Roman" w:hAnsi="Times New Roman"/>
                <w:b/>
                <w:sz w:val="19"/>
              </w:rPr>
              <w:t>Date</w:t>
            </w:r>
          </w:p>
        </w:tc>
        <w:tc>
          <w:tcPr>
            <w:tcW w:type="dxa" w:w="5184"/>
            <w:vAlign w:val="center"/>
          </w:tcPr>
          <w:p>
            <w:pPr>
              <w:jc w:val="left"/>
            </w:pPr>
            <w:r/>
            <w:r>
              <w:rPr>
                <w:rFonts w:ascii="Times New Roman" w:hAnsi="Times New Roman"/>
                <w:b w:val="0"/>
                <w:sz w:val="19"/>
              </w:rPr>
              <w:t>29 September 2026</w:t>
            </w:r>
          </w:p>
        </w:tc>
      </w:tr>
      <w:tr>
        <w:tc>
          <w:tcPr>
            <w:tcW w:type="dxa" w:w="5184"/>
            <w:vAlign w:val="center"/>
            <w:shd w:fill="D9EAF7"/>
          </w:tcPr>
          <w:p>
            <w:pPr>
              <w:jc w:val="center"/>
            </w:pPr>
            <w:r/>
            <w:r>
              <w:rPr>
                <w:rFonts w:ascii="Times New Roman" w:hAnsi="Times New Roman"/>
                <w:b/>
                <w:sz w:val="19"/>
              </w:rPr>
              <w:t>Team ID</w:t>
            </w:r>
          </w:p>
        </w:tc>
        <w:tc>
          <w:tcPr>
            <w:tcW w:type="dxa" w:w="5184"/>
            <w:vAlign w:val="center"/>
          </w:tcPr>
          <w:p>
            <w:pPr>
              <w:jc w:val="left"/>
            </w:pPr>
            <w:r/>
            <w:r>
              <w:rPr>
                <w:rFonts w:ascii="Times New Roman" w:hAnsi="Times New Roman"/>
                <w:b w:val="0"/>
                <w:sz w:val="19"/>
              </w:rPr>
              <w:t>SWTID-2026-3645</w:t>
            </w:r>
          </w:p>
        </w:tc>
      </w:tr>
      <w:tr>
        <w:tc>
          <w:tcPr>
            <w:tcW w:type="dxa" w:w="5184"/>
            <w:vAlign w:val="center"/>
            <w:shd w:fill="D9EAF7"/>
          </w:tcPr>
          <w:p>
            <w:pPr>
              <w:jc w:val="center"/>
            </w:pPr>
            <w:r/>
            <w:r>
              <w:rPr>
                <w:rFonts w:ascii="Times New Roman" w:hAnsi="Times New Roman"/>
                <w:b/>
                <w:sz w:val="19"/>
              </w:rPr>
              <w:t>Project Name</w:t>
            </w:r>
          </w:p>
        </w:tc>
        <w:tc>
          <w:tcPr>
            <w:tcW w:type="dxa" w:w="5184"/>
            <w:vAlign w:val="center"/>
          </w:tcPr>
          <w:p>
            <w:pPr>
              <w:jc w:val="left"/>
            </w:pPr>
            <w:r/>
            <w:r>
              <w:rPr>
                <w:rFonts w:ascii="Times New Roman" w:hAnsi="Times New Roman"/>
                <w:b w:val="0"/>
                <w:sz w:val="19"/>
              </w:rPr>
              <w:t>PocketSmart AI</w:t>
            </w:r>
          </w:p>
        </w:tc>
      </w:tr>
      <w:tr>
        <w:tc>
          <w:tcPr>
            <w:tcW w:type="dxa" w:w="5184"/>
            <w:vAlign w:val="center"/>
            <w:shd w:fill="D9EAF7"/>
          </w:tcPr>
          <w:p>
            <w:pPr>
              <w:jc w:val="center"/>
            </w:pPr>
            <w:r/>
            <w:r>
              <w:rPr>
                <w:rFonts w:ascii="Times New Roman" w:hAnsi="Times New Roman"/>
                <w:b/>
                <w:sz w:val="19"/>
              </w:rPr>
              <w:t>Maximum Marks</w:t>
            </w:r>
          </w:p>
        </w:tc>
        <w:tc>
          <w:tcPr>
            <w:tcW w:type="dxa" w:w="5184"/>
            <w:vAlign w:val="center"/>
          </w:tcPr>
          <w:p>
            <w:pPr>
              <w:jc w:val="left"/>
            </w:pPr>
            <w:r/>
            <w:r>
              <w:rPr>
                <w:rFonts w:ascii="Times New Roman" w:hAnsi="Times New Roman"/>
                <w:b w:val="0"/>
                <w:sz w:val="19"/>
              </w:rPr>
              <w:t>2 Marks</w:t>
            </w:r>
          </w:p>
        </w:tc>
      </w:tr>
    </w:tbl>
    <w:p/>
    <w:p>
      <w:r>
        <w:rPr>
          <w:b/>
          <w:sz w:val="24"/>
        </w:rPr>
        <w:t>Proposed Solution Template:</w:t>
      </w:r>
    </w:p>
    <w:p>
      <w:r>
        <w:t>Project team shall fill the following information in the proposed solution template.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center"/>
            </w:pPr>
            <w:r/>
            <w:r>
              <w:rPr>
                <w:rFonts w:ascii="Times New Roman" w:hAnsi="Times New Roman"/>
                <w:b/>
                <w:sz w:val="18"/>
              </w:rPr>
              <w:t>S.No.</w:t>
            </w:r>
          </w:p>
        </w:tc>
        <w:tc>
          <w:tcPr>
            <w:tcW w:type="dxa" w:w="3456"/>
            <w:vAlign w:val="center"/>
            <w:shd w:fill="D9EAF7"/>
          </w:tcPr>
          <w:p>
            <w:pPr>
              <w:jc w:val="center"/>
            </w:pPr>
            <w:r/>
            <w:r>
              <w:rPr>
                <w:rFonts w:ascii="Times New Roman" w:hAnsi="Times New Roman"/>
                <w:b/>
                <w:sz w:val="18"/>
              </w:rPr>
              <w:t>Parameter</w:t>
            </w:r>
          </w:p>
        </w:tc>
        <w:tc>
          <w:tcPr>
            <w:tcW w:type="dxa" w:w="3456"/>
            <w:vAlign w:val="center"/>
            <w:shd w:fill="D9EAF7"/>
          </w:tcPr>
          <w:p>
            <w:pPr>
              <w:jc w:val="center"/>
            </w:pPr>
            <w:r/>
            <w:r>
              <w:rPr>
                <w:rFonts w:ascii="Times New Roman" w:hAnsi="Times New Roman"/>
                <w:b/>
                <w:sz w:val="18"/>
              </w:rPr>
              <w:t>Description</w:t>
            </w:r>
          </w:p>
        </w:tc>
      </w:tr>
      <w:tr>
        <w:tc>
          <w:tcPr>
            <w:tcW w:type="dxa" w:w="3456"/>
            <w:vAlign w:val="center"/>
          </w:tcPr>
          <w:p>
            <w:pPr>
              <w:jc w:val="center"/>
            </w:pPr>
            <w:r/>
            <w:r>
              <w:rPr>
                <w:rFonts w:ascii="Times New Roman" w:hAnsi="Times New Roman"/>
                <w:b/>
                <w:sz w:val="17"/>
              </w:rPr>
              <w:t>1.</w:t>
            </w:r>
          </w:p>
        </w:tc>
        <w:tc>
          <w:tcPr>
            <w:tcW w:type="dxa" w:w="3456"/>
            <w:vAlign w:val="center"/>
          </w:tcPr>
          <w:p>
            <w:pPr>
              <w:jc w:val="center"/>
            </w:pPr>
            <w:r/>
            <w:r>
              <w:rPr>
                <w:rFonts w:ascii="Times New Roman" w:hAnsi="Times New Roman"/>
                <w:b/>
                <w:sz w:val="17"/>
              </w:rPr>
              <w:t>Problem Statement (Problem to be solved)</w:t>
            </w:r>
          </w:p>
        </w:tc>
        <w:tc>
          <w:tcPr>
            <w:tcW w:type="dxa" w:w="3456"/>
            <w:vAlign w:val="center"/>
          </w:tcPr>
          <w:p>
            <w:pPr>
              <w:jc w:val="left"/>
            </w:pPr>
            <w:r/>
            <w:r>
              <w:rPr>
                <w:rFonts w:ascii="Times New Roman" w:hAnsi="Times New Roman"/>
                <w:b w:val="0"/>
                <w:sz w:val="17"/>
              </w:rPr>
              <w:t>Users often need to plan home interiors, parties, or jewelry purchases within a limited budget, but finding suitable products and services across different platforms can be time-consuming. Comparing options while considering personal preferences, budget limits, and, for jewelry, outfit appearance can also be difficult.</w:t>
            </w:r>
          </w:p>
        </w:tc>
      </w:tr>
      <w:tr>
        <w:tc>
          <w:tcPr>
            <w:tcW w:type="dxa" w:w="3456"/>
            <w:vAlign w:val="center"/>
          </w:tcPr>
          <w:p>
            <w:pPr>
              <w:jc w:val="center"/>
            </w:pPr>
            <w:r/>
            <w:r>
              <w:rPr>
                <w:rFonts w:ascii="Times New Roman" w:hAnsi="Times New Roman"/>
                <w:b/>
                <w:sz w:val="17"/>
              </w:rPr>
              <w:t>2.</w:t>
            </w:r>
          </w:p>
        </w:tc>
        <w:tc>
          <w:tcPr>
            <w:tcW w:type="dxa" w:w="3456"/>
            <w:vAlign w:val="center"/>
          </w:tcPr>
          <w:p>
            <w:pPr>
              <w:jc w:val="center"/>
            </w:pPr>
            <w:r/>
            <w:r>
              <w:rPr>
                <w:rFonts w:ascii="Times New Roman" w:hAnsi="Times New Roman"/>
                <w:b/>
                <w:sz w:val="17"/>
              </w:rPr>
              <w:t>Idea / Solution description</w:t>
            </w:r>
          </w:p>
        </w:tc>
        <w:tc>
          <w:tcPr>
            <w:tcW w:type="dxa" w:w="3456"/>
            <w:vAlign w:val="center"/>
          </w:tcPr>
          <w:p>
            <w:pPr>
              <w:jc w:val="left"/>
            </w:pPr>
            <w:r/>
            <w:r>
              <w:rPr>
                <w:rFonts w:ascii="Times New Roman" w:hAnsi="Times New Roman"/>
                <w:b w:val="0"/>
                <w:sz w:val="17"/>
              </w:rPr>
              <w:t>PocketSmart AI is a GenAI-powered budget and recommendation assistant that accepts user budgets, preferences and relevant inputs to generate personalized recommendations for home interiors, party planning and jewelry selection. The system uses a FastAPI backend and Gemini 1.5 Flash Pro, with relevant external product/service data sources and recommendation history.</w:t>
            </w:r>
          </w:p>
        </w:tc>
      </w:tr>
      <w:tr>
        <w:tc>
          <w:tcPr>
            <w:tcW w:type="dxa" w:w="3456"/>
            <w:vAlign w:val="center"/>
          </w:tcPr>
          <w:p>
            <w:pPr>
              <w:jc w:val="center"/>
            </w:pPr>
            <w:r/>
            <w:r>
              <w:rPr>
                <w:rFonts w:ascii="Times New Roman" w:hAnsi="Times New Roman"/>
                <w:b/>
                <w:sz w:val="17"/>
              </w:rPr>
              <w:t>3.</w:t>
            </w:r>
          </w:p>
        </w:tc>
        <w:tc>
          <w:tcPr>
            <w:tcW w:type="dxa" w:w="3456"/>
            <w:vAlign w:val="center"/>
          </w:tcPr>
          <w:p>
            <w:pPr>
              <w:jc w:val="center"/>
            </w:pPr>
            <w:r/>
            <w:r>
              <w:rPr>
                <w:rFonts w:ascii="Times New Roman" w:hAnsi="Times New Roman"/>
                <w:b/>
                <w:sz w:val="17"/>
              </w:rPr>
              <w:t>Novelty / Uniqueness</w:t>
            </w:r>
          </w:p>
        </w:tc>
        <w:tc>
          <w:tcPr>
            <w:tcW w:type="dxa" w:w="3456"/>
            <w:vAlign w:val="center"/>
          </w:tcPr>
          <w:p>
            <w:pPr>
              <w:jc w:val="left"/>
            </w:pPr>
            <w:r/>
            <w:r>
              <w:rPr>
                <w:rFonts w:ascii="Times New Roman" w:hAnsi="Times New Roman"/>
                <w:b w:val="0"/>
                <w:sz w:val="17"/>
              </w:rPr>
              <w:t>Combines budget-aware recommendation generation with personalized preferences across three practical domains—home interiors, party planning and jewelry. The jewelry module can additionally use an outfit image as multimodal context, while the system brings recommendations from relevant product and service platforms into a single assistant experience.</w:t>
            </w:r>
          </w:p>
        </w:tc>
      </w:tr>
      <w:tr>
        <w:tc>
          <w:tcPr>
            <w:tcW w:type="dxa" w:w="3456"/>
            <w:vAlign w:val="center"/>
          </w:tcPr>
          <w:p>
            <w:pPr>
              <w:jc w:val="center"/>
            </w:pPr>
            <w:r/>
            <w:r>
              <w:rPr>
                <w:rFonts w:ascii="Times New Roman" w:hAnsi="Times New Roman"/>
                <w:b/>
                <w:sz w:val="17"/>
              </w:rPr>
              <w:t>4.</w:t>
            </w:r>
          </w:p>
        </w:tc>
        <w:tc>
          <w:tcPr>
            <w:tcW w:type="dxa" w:w="3456"/>
            <w:vAlign w:val="center"/>
          </w:tcPr>
          <w:p>
            <w:pPr>
              <w:jc w:val="center"/>
            </w:pPr>
            <w:r/>
            <w:r>
              <w:rPr>
                <w:rFonts w:ascii="Times New Roman" w:hAnsi="Times New Roman"/>
                <w:b/>
                <w:sz w:val="17"/>
              </w:rPr>
              <w:t>Social Impact / Customer Satisfaction</w:t>
            </w:r>
          </w:p>
        </w:tc>
        <w:tc>
          <w:tcPr>
            <w:tcW w:type="dxa" w:w="3456"/>
            <w:vAlign w:val="center"/>
          </w:tcPr>
          <w:p>
            <w:pPr>
              <w:jc w:val="left"/>
            </w:pPr>
            <w:r/>
            <w:r>
              <w:rPr>
                <w:rFonts w:ascii="Times New Roman" w:hAnsi="Times New Roman"/>
                <w:b w:val="0"/>
                <w:sz w:val="17"/>
              </w:rPr>
              <w:t>Reduces the effort required to search, compare and plan purchases or events within a budget. Personalized suggestions can help users make more informed planning decisions, discover suitable options faster, and receive recommendations aligned with their stated preferences.</w:t>
            </w:r>
          </w:p>
        </w:tc>
      </w:tr>
      <w:tr>
        <w:tc>
          <w:tcPr>
            <w:tcW w:type="dxa" w:w="3456"/>
            <w:vAlign w:val="center"/>
          </w:tcPr>
          <w:p>
            <w:pPr>
              <w:jc w:val="center"/>
            </w:pPr>
            <w:r/>
            <w:r>
              <w:rPr>
                <w:rFonts w:ascii="Times New Roman" w:hAnsi="Times New Roman"/>
                <w:b/>
                <w:sz w:val="17"/>
              </w:rPr>
              <w:t>5.</w:t>
            </w:r>
          </w:p>
        </w:tc>
        <w:tc>
          <w:tcPr>
            <w:tcW w:type="dxa" w:w="3456"/>
            <w:vAlign w:val="center"/>
          </w:tcPr>
          <w:p>
            <w:pPr>
              <w:jc w:val="center"/>
            </w:pPr>
            <w:r/>
            <w:r>
              <w:rPr>
                <w:rFonts w:ascii="Times New Roman" w:hAnsi="Times New Roman"/>
                <w:b/>
                <w:sz w:val="17"/>
              </w:rPr>
              <w:t>Business Model (Revenue Model)</w:t>
            </w:r>
          </w:p>
        </w:tc>
        <w:tc>
          <w:tcPr>
            <w:tcW w:type="dxa" w:w="3456"/>
            <w:vAlign w:val="center"/>
          </w:tcPr>
          <w:p>
            <w:pPr>
              <w:jc w:val="left"/>
            </w:pPr>
            <w:r/>
            <w:r>
              <w:rPr>
                <w:rFonts w:ascii="Times New Roman" w:hAnsi="Times New Roman"/>
                <w:b w:val="0"/>
                <w:sz w:val="17"/>
              </w:rPr>
              <w:t>Potential revenue models include premium access to advanced AI recommendations, subscription-based personalized planning features, partnerships or referral-based revenue from participating product/service platforms, and premium features for frequent users or organizations.</w:t>
            </w:r>
          </w:p>
        </w:tc>
      </w:tr>
      <w:tr>
        <w:tc>
          <w:tcPr>
            <w:tcW w:type="dxa" w:w="3456"/>
            <w:vAlign w:val="center"/>
          </w:tcPr>
          <w:p>
            <w:pPr>
              <w:jc w:val="center"/>
            </w:pPr>
            <w:r/>
            <w:r>
              <w:rPr>
                <w:rFonts w:ascii="Times New Roman" w:hAnsi="Times New Roman"/>
                <w:b/>
                <w:sz w:val="17"/>
              </w:rPr>
              <w:t>6.</w:t>
            </w:r>
          </w:p>
        </w:tc>
        <w:tc>
          <w:tcPr>
            <w:tcW w:type="dxa" w:w="3456"/>
            <w:vAlign w:val="center"/>
          </w:tcPr>
          <w:p>
            <w:pPr>
              <w:jc w:val="center"/>
            </w:pPr>
            <w:r/>
            <w:r>
              <w:rPr>
                <w:rFonts w:ascii="Times New Roman" w:hAnsi="Times New Roman"/>
                <w:b/>
                <w:sz w:val="17"/>
              </w:rPr>
              <w:t>Scalability of the Solution</w:t>
            </w:r>
          </w:p>
        </w:tc>
        <w:tc>
          <w:tcPr>
            <w:tcW w:type="dxa" w:w="3456"/>
            <w:vAlign w:val="center"/>
          </w:tcPr>
          <w:p>
            <w:pPr>
              <w:jc w:val="left"/>
            </w:pPr>
            <w:r/>
            <w:r>
              <w:rPr>
                <w:rFonts w:ascii="Times New Roman" w:hAnsi="Times New Roman"/>
                <w:b w:val="0"/>
                <w:sz w:val="17"/>
              </w:rPr>
              <w:t>The modular FastAPI-based architecture can be extended with additional recommendation categories, more external product/service sources, additional AI capabilities, improved multimodal inputs, analytics, stronger personalization, and cloud-based scaling as the number of users and recommendation requests grows.</w:t>
            </w:r>
          </w:p>
        </w:tc>
      </w:tr>
    </w:tbl>
    <w:p/>
    <w:p>
      <w:r>
        <w:rPr>
          <w:b/>
        </w:rPr>
        <w:t xml:space="preserve">College: </w:t>
      </w:r>
      <w:r>
        <w:t>C.T.T.E. College for Women</w:t>
      </w:r>
    </w:p>
    <w:p>
      <w:r>
        <w:rPr>
          <w:b/>
        </w:rPr>
        <w:t xml:space="preserve">Team: </w:t>
      </w:r>
      <w:r>
        <w:t>Nithiya Sree V (Team Leader); Nandhini C; Nikitha D; Pooja Roselin 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