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8"/>
        </w:rPr>
        <w:t>THE SEQUENTIAL MATCHING PROBLEM</w:t>
      </w:r>
    </w:p>
    <w:p>
      <w:pPr>
        <w:spacing w:before="0" w:after="240"/>
      </w:pPr>
      <w:r>
        <w:rPr>
          <w:rFonts w:ascii="Calibri" w:hAnsi="Calibri"/>
          <w:color w:val="2563EB"/>
          <w:sz w:val="24"/>
        </w:rPr>
        <w:t>Comprehensive Data Analytics, Pair-Level Feasibility Modeling, Information Bottleneck Diagnosis &amp; Policy Validation Report</w:t>
      </w: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680"/>
        <w:gridCol w:w="4680"/>
      </w:tblGrid>
      <w:tr>
        <w:tc>
          <w:tcPr>
            <w:tcW w:type="dxa" w:w="4680"/>
            <w:shd w:fill="F8FAFC"/>
            <w:tcMar>
              <w:top w:w="60" w:type="dxa"/>
              <w:bottom w:w="60" w:type="dxa"/>
              <w:left w:w="100" w:type="dxa"/>
              <w:right w:w="100" w:type="dxa"/>
            </w:tcMar>
          </w:tcPr>
          <w:p>
            <w:pPr>
              <w:spacing w:after="0"/>
            </w:pPr>
            <w:r>
              <w:rPr>
                <w:rFonts w:ascii="Calibri" w:hAnsi="Calibri"/>
                <w:b/>
                <w:color w:val="0F172A"/>
                <w:sz w:val="19"/>
              </w:rPr>
              <w:t>Author &amp; Role:</w:t>
            </w:r>
          </w:p>
        </w:tc>
        <w:tc>
          <w:tcPr>
            <w:tcW w:type="dxa" w:w="4680"/>
            <w:shd w:fill="FFFFFF"/>
            <w:tcMar>
              <w:top w:w="60" w:type="dxa"/>
              <w:bottom w:w="60" w:type="dxa"/>
              <w:left w:w="100" w:type="dxa"/>
              <w:right w:w="100" w:type="dxa"/>
            </w:tcMar>
          </w:tcPr>
          <w:p>
            <w:pPr>
              <w:spacing w:after="0"/>
            </w:pPr>
            <w:r>
              <w:rPr>
                <w:rFonts w:ascii="Calibri" w:hAnsi="Calibri"/>
                <w:color w:val="334155"/>
                <w:sz w:val="19"/>
              </w:rPr>
              <w:t>Monu — Lead Data Analyst</w:t>
            </w:r>
          </w:p>
        </w:tc>
      </w:tr>
      <w:tr>
        <w:tc>
          <w:tcPr>
            <w:tcW w:type="dxa" w:w="4680"/>
            <w:shd w:fill="F8FAFC"/>
            <w:tcMar>
              <w:top w:w="60" w:type="dxa"/>
              <w:bottom w:w="60" w:type="dxa"/>
              <w:left w:w="100" w:type="dxa"/>
              <w:right w:w="100" w:type="dxa"/>
            </w:tcMar>
          </w:tcPr>
          <w:p>
            <w:pPr>
              <w:spacing w:after="0"/>
            </w:pPr>
            <w:r>
              <w:rPr>
                <w:rFonts w:ascii="Calibri" w:hAnsi="Calibri"/>
                <w:b/>
                <w:color w:val="0F172A"/>
                <w:sz w:val="19"/>
              </w:rPr>
              <w:t>Project / Context:</w:t>
            </w:r>
          </w:p>
        </w:tc>
        <w:tc>
          <w:tcPr>
            <w:tcW w:type="dxa" w:w="4680"/>
            <w:shd w:fill="FFFFFF"/>
            <w:tcMar>
              <w:top w:w="60" w:type="dxa"/>
              <w:bottom w:w="60" w:type="dxa"/>
              <w:left w:w="100" w:type="dxa"/>
              <w:right w:w="100" w:type="dxa"/>
            </w:tcMar>
          </w:tcPr>
          <w:p>
            <w:pPr>
              <w:spacing w:after="0"/>
            </w:pPr>
            <w:r>
              <w:rPr>
                <w:rFonts w:ascii="Calibri" w:hAnsi="Calibri"/>
                <w:color w:val="334155"/>
                <w:sz w:val="19"/>
              </w:rPr>
              <w:t>Vouchsafe / Romeo &amp; Juliet Sequential Reciprocal Matching Hackathon</w:t>
            </w:r>
          </w:p>
        </w:tc>
      </w:tr>
      <w:tr>
        <w:tc>
          <w:tcPr>
            <w:tcW w:type="dxa" w:w="4680"/>
            <w:shd w:fill="F8FAFC"/>
            <w:tcMar>
              <w:top w:w="60" w:type="dxa"/>
              <w:bottom w:w="60" w:type="dxa"/>
              <w:left w:w="100" w:type="dxa"/>
              <w:right w:w="100" w:type="dxa"/>
            </w:tcMar>
          </w:tcPr>
          <w:p>
            <w:pPr>
              <w:spacing w:after="0"/>
            </w:pPr>
            <w:r>
              <w:rPr>
                <w:rFonts w:ascii="Calibri" w:hAnsi="Calibri"/>
                <w:b/>
                <w:color w:val="0F172A"/>
                <w:sz w:val="19"/>
              </w:rPr>
              <w:t>Dataset Release:</w:t>
            </w:r>
          </w:p>
        </w:tc>
        <w:tc>
          <w:tcPr>
            <w:tcW w:type="dxa" w:w="4680"/>
            <w:shd w:fill="FFFFFF"/>
            <w:tcMar>
              <w:top w:w="60" w:type="dxa"/>
              <w:bottom w:w="60" w:type="dxa"/>
              <w:left w:w="100" w:type="dxa"/>
              <w:right w:w="100" w:type="dxa"/>
            </w:tcMar>
          </w:tcPr>
          <w:p>
            <w:pPr>
              <w:spacing w:after="0"/>
            </w:pPr>
            <w:r>
              <w:rPr>
                <w:rFonts w:ascii="Calibri" w:hAnsi="Calibri"/>
                <w:color w:val="334155"/>
                <w:sz w:val="19"/>
              </w:rPr>
              <w:t>Release 1.0.0 (10 Disjoint Benchmark Pools: public_01 to public_10)</w:t>
            </w:r>
          </w:p>
        </w:tc>
      </w:tr>
      <w:tr>
        <w:tc>
          <w:tcPr>
            <w:tcW w:type="dxa" w:w="4680"/>
            <w:shd w:fill="F8FAFC"/>
            <w:tcMar>
              <w:top w:w="60" w:type="dxa"/>
              <w:bottom w:w="60" w:type="dxa"/>
              <w:left w:w="100" w:type="dxa"/>
              <w:right w:w="100" w:type="dxa"/>
            </w:tcMar>
          </w:tcPr>
          <w:p>
            <w:pPr>
              <w:spacing w:after="0"/>
            </w:pPr>
            <w:r>
              <w:rPr>
                <w:rFonts w:ascii="Calibri" w:hAnsi="Calibri"/>
                <w:b/>
                <w:color w:val="0F172A"/>
                <w:sz w:val="19"/>
              </w:rPr>
              <w:t>Scope &amp; Architecture:</w:t>
            </w:r>
          </w:p>
        </w:tc>
        <w:tc>
          <w:tcPr>
            <w:tcW w:type="dxa" w:w="4680"/>
            <w:shd w:fill="FFFFFF"/>
            <w:tcMar>
              <w:top w:w="60" w:type="dxa"/>
              <w:bottom w:w="60" w:type="dxa"/>
              <w:left w:w="100" w:type="dxa"/>
              <w:right w:w="100" w:type="dxa"/>
            </w:tcMar>
          </w:tcPr>
          <w:p>
            <w:pPr>
              <w:spacing w:after="0"/>
            </w:pPr>
            <w:r>
              <w:rPr>
                <w:rFonts w:ascii="Calibri" w:hAnsi="Calibri"/>
                <w:color w:val="334155"/>
                <w:sz w:val="19"/>
              </w:rPr>
              <w:t>2,000 Profiles | 199,000 Cartesian Pairs | 60-Day Horizon | Active Exploration &amp; Exploitation</w:t>
            </w:r>
          </w:p>
        </w:tc>
      </w:tr>
    </w:tbl>
    <w:p>
      <w:pPr>
        <w:spacing w:after="160"/>
      </w:pPr>
    </w:p>
    <w:p>
      <w:pPr>
        <w:keepNext/>
        <w:spacing w:before="320" w:after="120"/>
      </w:pPr>
      <w:r>
        <w:rPr>
          <w:rFonts w:ascii="Calibri" w:hAnsi="Calibri"/>
          <w:b/>
          <w:color w:val="1E3A8A"/>
          <w:sz w:val="32"/>
        </w:rPr>
        <w:t>Executive Summary</w:t>
      </w:r>
    </w:p>
    <w:p>
      <w:pPr>
        <w:spacing w:before="0" w:after="120" w:line="276" w:lineRule="auto"/>
      </w:pPr>
      <w:r>
        <w:rPr>
          <w:rFonts w:ascii="Calibri" w:hAnsi="Calibri"/>
          <w:color w:val="334155"/>
          <w:sz w:val="21"/>
        </w:rPr>
        <w:t>This research report documents the end-to-end data analytics pipeline, statistical audits, candidate graph formulations, and algorithm evaluation developed for The Sequential Matching Problem. Standard matching architectures assume complete information and static bipartite graphs, relying on independent pair ranking. However, our rigorous audit of 2,000 synthetic adults across 10 independent simulation pools revealed that matching is fundamentally constrained by an Information Bottleneck: over 85% of potential candidate edges are blocked not by demographic incompatibility, but by unobserved reciprocal constraints under delayed feedback.</w:t>
      </w:r>
    </w:p>
    <w:p>
      <w:pPr>
        <w:spacing w:before="0" w:after="120" w:line="276" w:lineRule="auto"/>
      </w:pPr>
      <w:r>
        <w:rPr>
          <w:rFonts w:ascii="Calibri" w:hAnsi="Calibri"/>
          <w:color w:val="334155"/>
          <w:sz w:val="21"/>
        </w:rPr>
        <w:t>By translating raw JSONL logs into a pairwise Cartesian analytical framework of 199,000 combinations, modeling missingness as informative uncertainty rather than rejection, and quantifying candidate degree scarcity, our data pipeline directly guided the architecture of Policy V2.2. When validated across 120 benchmark episodes (6 scenario families, 5 seeds per scenario), Policy V2.2 matched the state-of-the-art MSMI score of the Greedy baseline (0.3667) while improving coverage to 35.50%, increasing mutual acceptances to 5.42 per 100 (+4.6% relative gain), and slashing decision latency by 32.3%.</w:t>
      </w:r>
    </w:p>
    <w:tbl>
      <w:tblPr>
        <w:tblW w:type="auto" w:w="0"/>
        <w:jc w:val="center"/>
        <w:tblLook w:firstColumn="1" w:firstRow="1" w:lastColumn="0" w:lastRow="0" w:noHBand="0" w:noVBand="1" w:val="04A0"/>
      </w:tblPr>
      <w:tblGrid>
        <w:gridCol w:w="9360"/>
      </w:tblGrid>
      <w:tr>
        <w:tc>
          <w:tcPr>
            <w:tcW w:type="dxa" w:w="9360"/>
            <w:shd w:fill="EFF6FF"/>
            <w:tcBorders>
              <w:left w:val="single" w:sz="24" w:space="0" w:color="2563EB"/>
              <w:top w:val="none"/>
              <w:right w:val="none"/>
              <w:bottom w:val="none"/>
            </w:tcBorders>
            <w:tcMar>
              <w:top w:w="140" w:type="dxa"/>
              <w:bottom w:w="140" w:type="dxa"/>
              <w:left w:w="200" w:type="dxa"/>
              <w:right w:w="200" w:type="dxa"/>
            </w:tcMar>
          </w:tcPr>
          <w:p>
            <w:pPr>
              <w:spacing w:before="40" w:after="40" w:line="276" w:lineRule="auto"/>
            </w:pPr>
            <w:r>
              <w:rPr>
                <w:rFonts w:ascii="Calibri" w:hAnsi="Calibri"/>
                <w:b/>
                <w:color w:val="1E3A8A"/>
                <w:sz w:val="20"/>
              </w:rPr>
              <w:t xml:space="preserve">EXECUTIVE TAKEAWAY: </w:t>
            </w:r>
            <w:r>
              <w:rPr>
                <w:rFonts w:ascii="Calibri" w:hAnsi="Calibri"/>
                <w:color w:val="0F172A"/>
                <w:sz w:val="20"/>
              </w:rPr>
              <w:t>Matching performance is not limited by member supply or demographic mismatch, but by reciprocal information deficits. Active exploration using the 12-unit daily asking budget unlocks viable edges 13.4x faster than passive matching.</w:t>
            </w:r>
          </w:p>
        </w:tc>
      </w:tr>
    </w:tbl>
    <w:p>
      <w:pPr>
        <w:spacing w:before="0" w:after="120"/>
      </w:pPr>
    </w:p>
    <w:p>
      <w:pPr>
        <w:keepNext/>
        <w:spacing w:before="320" w:after="120"/>
      </w:pPr>
      <w:r>
        <w:rPr>
          <w:rFonts w:ascii="Calibri" w:hAnsi="Calibri"/>
          <w:b/>
          <w:color w:val="1E3A8A"/>
          <w:sz w:val="32"/>
        </w:rPr>
        <w:t>1. Data Foundation &amp; Integrity Audit</w:t>
      </w:r>
    </w:p>
    <w:p>
      <w:pPr>
        <w:spacing w:before="0" w:after="120" w:line="276" w:lineRule="auto"/>
      </w:pPr>
      <w:r>
        <w:rPr>
          <w:rFonts w:ascii="Calibri" w:hAnsi="Calibri"/>
          <w:color w:val="334155"/>
          <w:sz w:val="21"/>
        </w:rPr>
        <w:t>The experimental foundation consists of 10 disjoint benchmark pools (public_01 through public_10), each containing 200 synthetic adult profiles. In total, the baseline data incorporates 2,000 profiles, 613 historical introductions, 1,270 feedback events, and 1,129 conversational transcripts logged up to Day 30.</w:t>
      </w:r>
    </w:p>
    <w:p>
      <w:pPr>
        <w:pStyle w:val="ListBullet"/>
        <w:spacing w:before="0" w:after="60" w:line="276" w:lineRule="auto"/>
      </w:pPr>
      <w:r>
        <w:rPr>
          <w:rFonts w:ascii="Calibri" w:hAnsi="Calibri"/>
          <w:b/>
          <w:color w:val="0F172A"/>
          <w:sz w:val="20"/>
        </w:rPr>
        <w:t xml:space="preserve">Data Integrity: </w:t>
      </w:r>
      <w:r>
        <w:rPr>
          <w:rFonts w:ascii="Calibri" w:hAnsi="Calibri"/>
          <w:color w:val="334155"/>
          <w:sz w:val="20"/>
        </w:rPr>
        <w:t>Zero duplicate member IDs across all 10 pools, ensuring strict entity integrity.</w:t>
      </w:r>
    </w:p>
    <w:p>
      <w:pPr>
        <w:pStyle w:val="ListBullet"/>
        <w:spacing w:before="0" w:after="60" w:line="276" w:lineRule="auto"/>
      </w:pPr>
      <w:r>
        <w:rPr>
          <w:rFonts w:ascii="Calibri" w:hAnsi="Calibri"/>
          <w:b/>
          <w:color w:val="0F172A"/>
          <w:sz w:val="20"/>
        </w:rPr>
        <w:t xml:space="preserve">Temporal Consistency: </w:t>
      </w:r>
      <w:r>
        <w:rPr>
          <w:rFonts w:ascii="Calibri" w:hAnsi="Calibri"/>
          <w:color w:val="334155"/>
          <w:sz w:val="20"/>
        </w:rPr>
        <w:t>All rows preserve arrival timestamps, observation horizons, and explicit field statuses.</w:t>
      </w:r>
    </w:p>
    <w:p>
      <w:pPr>
        <w:pStyle w:val="ListBullet"/>
        <w:spacing w:before="0" w:after="60" w:line="276" w:lineRule="auto"/>
      </w:pPr>
      <w:r>
        <w:rPr>
          <w:rFonts w:ascii="Calibri" w:hAnsi="Calibri"/>
          <w:b/>
          <w:color w:val="0F172A"/>
          <w:sz w:val="20"/>
        </w:rPr>
        <w:t xml:space="preserve">Preservation Principle: </w:t>
      </w:r>
      <w:r>
        <w:rPr>
          <w:rFonts w:ascii="Calibri" w:hAnsi="Calibri"/>
          <w:color w:val="334155"/>
          <w:sz w:val="20"/>
        </w:rPr>
        <w:t>Missing fields are strictly modeled as UNKNOWN / NEEDS_CLARIFICATION rather than zeroed or penalized.</w:t>
      </w:r>
    </w:p>
    <w:p>
      <w:pPr>
        <w:keepNext/>
        <w:spacing w:before="160" w:after="80"/>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chart_03_missingness_audit.png"/>
                    <pic:cNvPicPr/>
                  </pic:nvPicPr>
                  <pic:blipFill>
                    <a:blip r:embed="rId10"/>
                    <a:stretch>
                      <a:fillRect/>
                    </a:stretch>
                  </pic:blipFill>
                  <pic:spPr>
                    <a:xfrm>
                      <a:off x="0" y="0"/>
                      <a:ext cx="5486400" cy="3657600"/>
                    </a:xfrm>
                    <a:prstGeom prst="rect"/>
                  </pic:spPr>
                </pic:pic>
              </a:graphicData>
            </a:graphic>
          </wp:inline>
        </w:drawing>
      </w:r>
    </w:p>
    <w:p>
      <w:pPr>
        <w:spacing w:before="40" w:after="200"/>
        <w:jc w:val="center"/>
      </w:pPr>
      <w:r>
        <w:rPr>
          <w:rFonts w:ascii="Calibri" w:hAnsi="Calibri"/>
          <w:i/>
          <w:color w:val="64748B"/>
          <w:sz w:val="18"/>
        </w:rPr>
        <w:t>Figure 1: Missingness Audit Across Member Attributes and Arrival Days (Preserving Uncertainty vs Rejection)</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tcPr>
          <w:p>
            <w:pPr>
              <w:jc w:val="center"/>
            </w:pPr>
            <w:r>
              <w:rPr>
                <w:rFonts w:ascii="Calibri" w:hAnsi="Calibri"/>
                <w:b/>
                <w:color w:val="FFFFFF"/>
                <w:sz w:val="19"/>
              </w:rPr>
              <w:t>Dataset / Split</w:t>
            </w:r>
          </w:p>
        </w:tc>
        <w:tc>
          <w:tcPr>
            <w:tcW w:type="dxa" w:w="2340"/>
            <w:shd w:fill="1E3A8A"/>
            <w:tcMar>
              <w:top w:w="100" w:type="dxa"/>
              <w:bottom w:w="100" w:type="dxa"/>
              <w:left w:w="120" w:type="dxa"/>
              <w:right w:w="120" w:type="dxa"/>
            </w:tcMar>
          </w:tcPr>
          <w:p>
            <w:pPr>
              <w:jc w:val="center"/>
            </w:pPr>
            <w:r>
              <w:rPr>
                <w:rFonts w:ascii="Calibri" w:hAnsi="Calibri"/>
                <w:b/>
                <w:color w:val="FFFFFF"/>
                <w:sz w:val="19"/>
              </w:rPr>
              <w:t>Profiles</w:t>
            </w:r>
          </w:p>
        </w:tc>
        <w:tc>
          <w:tcPr>
            <w:tcW w:type="dxa" w:w="2340"/>
            <w:shd w:fill="1E3A8A"/>
            <w:tcMar>
              <w:top w:w="100" w:type="dxa"/>
              <w:bottom w:w="100" w:type="dxa"/>
              <w:left w:w="120" w:type="dxa"/>
              <w:right w:w="120" w:type="dxa"/>
            </w:tcMar>
          </w:tcPr>
          <w:p>
            <w:pPr>
              <w:jc w:val="center"/>
            </w:pPr>
            <w:r>
              <w:rPr>
                <w:rFonts w:ascii="Calibri" w:hAnsi="Calibri"/>
                <w:b/>
                <w:color w:val="FFFFFF"/>
                <w:sz w:val="19"/>
              </w:rPr>
              <w:t>Introductions Logged</w:t>
            </w:r>
          </w:p>
        </w:tc>
        <w:tc>
          <w:tcPr>
            <w:tcW w:type="dxa" w:w="2340"/>
            <w:shd w:fill="1E3A8A"/>
            <w:tcMar>
              <w:top w:w="100" w:type="dxa"/>
              <w:bottom w:w="100" w:type="dxa"/>
              <w:left w:w="120" w:type="dxa"/>
              <w:right w:w="120" w:type="dxa"/>
            </w:tcMar>
          </w:tcPr>
          <w:p>
            <w:pPr>
              <w:jc w:val="center"/>
            </w:pPr>
            <w:r>
              <w:rPr>
                <w:rFonts w:ascii="Calibri" w:hAnsi="Calibri"/>
                <w:b/>
                <w:color w:val="FFFFFF"/>
                <w:sz w:val="19"/>
              </w:rPr>
              <w:t>Feedback Events</w:t>
            </w:r>
          </w:p>
        </w:tc>
      </w:tr>
      <w:tr>
        <w:tc>
          <w:tcPr>
            <w:tcW w:type="dxa" w:w="2340"/>
            <w:shd w:fill="F8FAFC"/>
            <w:tcMar>
              <w:top w:w="80" w:type="dxa"/>
              <w:bottom w:w="80" w:type="dxa"/>
              <w:left w:w="120" w:type="dxa"/>
              <w:right w:w="120" w:type="dxa"/>
            </w:tcMar>
          </w:tcPr>
          <w:p>
            <w:r>
              <w:rPr>
                <w:rFonts w:ascii="Calibri" w:hAnsi="Calibri"/>
                <w:color w:val="334155"/>
                <w:sz w:val="19"/>
              </w:rPr>
              <w:t>public_01 - public_03 (Development)</w:t>
            </w:r>
          </w:p>
        </w:tc>
        <w:tc>
          <w:tcPr>
            <w:tcW w:type="dxa" w:w="2340"/>
            <w:shd w:fill="F8FAFC"/>
            <w:tcMar>
              <w:top w:w="80" w:type="dxa"/>
              <w:bottom w:w="80" w:type="dxa"/>
              <w:left w:w="120" w:type="dxa"/>
              <w:right w:w="120" w:type="dxa"/>
            </w:tcMar>
          </w:tcPr>
          <w:p>
            <w:pPr>
              <w:jc w:val="right"/>
            </w:pPr>
            <w:r>
              <w:rPr>
                <w:rFonts w:ascii="Calibri" w:hAnsi="Calibri"/>
                <w:color w:val="334155"/>
                <w:sz w:val="19"/>
              </w:rPr>
              <w:t>600</w:t>
            </w:r>
          </w:p>
        </w:tc>
        <w:tc>
          <w:tcPr>
            <w:tcW w:type="dxa" w:w="2340"/>
            <w:shd w:fill="F8FAFC"/>
            <w:tcMar>
              <w:top w:w="80" w:type="dxa"/>
              <w:bottom w:w="80" w:type="dxa"/>
              <w:left w:w="120" w:type="dxa"/>
              <w:right w:w="120" w:type="dxa"/>
            </w:tcMar>
          </w:tcPr>
          <w:p>
            <w:pPr>
              <w:jc w:val="right"/>
            </w:pPr>
            <w:r>
              <w:rPr>
                <w:rFonts w:ascii="Calibri" w:hAnsi="Calibri"/>
                <w:color w:val="334155"/>
                <w:sz w:val="19"/>
              </w:rPr>
              <w:t>184</w:t>
            </w:r>
          </w:p>
        </w:tc>
        <w:tc>
          <w:tcPr>
            <w:tcW w:type="dxa" w:w="2340"/>
            <w:shd w:fill="F8FAFC"/>
            <w:tcMar>
              <w:top w:w="80" w:type="dxa"/>
              <w:bottom w:w="80" w:type="dxa"/>
              <w:left w:w="120" w:type="dxa"/>
              <w:right w:w="120" w:type="dxa"/>
            </w:tcMar>
          </w:tcPr>
          <w:p>
            <w:pPr>
              <w:jc w:val="right"/>
            </w:pPr>
            <w:r>
              <w:rPr>
                <w:rFonts w:ascii="Calibri" w:hAnsi="Calibri"/>
                <w:color w:val="334155"/>
                <w:sz w:val="19"/>
              </w:rPr>
              <w:t>382</w:t>
            </w:r>
          </w:p>
        </w:tc>
      </w:tr>
      <w:tr>
        <w:tc>
          <w:tcPr>
            <w:tcW w:type="dxa" w:w="2340"/>
            <w:shd w:fill="FFFFFF"/>
            <w:tcMar>
              <w:top w:w="80" w:type="dxa"/>
              <w:bottom w:w="80" w:type="dxa"/>
              <w:left w:w="120" w:type="dxa"/>
              <w:right w:w="120" w:type="dxa"/>
            </w:tcMar>
          </w:tcPr>
          <w:p>
            <w:r>
              <w:rPr>
                <w:rFonts w:ascii="Calibri" w:hAnsi="Calibri"/>
                <w:color w:val="334155"/>
                <w:sz w:val="19"/>
              </w:rPr>
              <w:t>public_04 - public_06 (Delayed Response)</w:t>
            </w:r>
          </w:p>
        </w:tc>
        <w:tc>
          <w:tcPr>
            <w:tcW w:type="dxa" w:w="2340"/>
            <w:shd w:fill="FFFFFF"/>
            <w:tcMar>
              <w:top w:w="80" w:type="dxa"/>
              <w:bottom w:w="80" w:type="dxa"/>
              <w:left w:w="120" w:type="dxa"/>
              <w:right w:w="120" w:type="dxa"/>
            </w:tcMar>
          </w:tcPr>
          <w:p>
            <w:pPr>
              <w:jc w:val="right"/>
            </w:pPr>
            <w:r>
              <w:rPr>
                <w:rFonts w:ascii="Calibri" w:hAnsi="Calibri"/>
                <w:color w:val="334155"/>
                <w:sz w:val="19"/>
              </w:rPr>
              <w:t>600</w:t>
            </w:r>
          </w:p>
        </w:tc>
        <w:tc>
          <w:tcPr>
            <w:tcW w:type="dxa" w:w="2340"/>
            <w:shd w:fill="FFFFFF"/>
            <w:tcMar>
              <w:top w:w="80" w:type="dxa"/>
              <w:bottom w:w="80" w:type="dxa"/>
              <w:left w:w="120" w:type="dxa"/>
              <w:right w:w="120" w:type="dxa"/>
            </w:tcMar>
          </w:tcPr>
          <w:p>
            <w:pPr>
              <w:jc w:val="right"/>
            </w:pPr>
            <w:r>
              <w:rPr>
                <w:rFonts w:ascii="Calibri" w:hAnsi="Calibri"/>
                <w:color w:val="334155"/>
                <w:sz w:val="19"/>
              </w:rPr>
              <w:t>185</w:t>
            </w:r>
          </w:p>
        </w:tc>
        <w:tc>
          <w:tcPr>
            <w:tcW w:type="dxa" w:w="2340"/>
            <w:shd w:fill="FFFFFF"/>
            <w:tcMar>
              <w:top w:w="80" w:type="dxa"/>
              <w:bottom w:w="80" w:type="dxa"/>
              <w:left w:w="120" w:type="dxa"/>
              <w:right w:w="120" w:type="dxa"/>
            </w:tcMar>
          </w:tcPr>
          <w:p>
            <w:pPr>
              <w:jc w:val="right"/>
            </w:pPr>
            <w:r>
              <w:rPr>
                <w:rFonts w:ascii="Calibri" w:hAnsi="Calibri"/>
                <w:color w:val="334155"/>
                <w:sz w:val="19"/>
              </w:rPr>
              <w:t>379</w:t>
            </w:r>
          </w:p>
        </w:tc>
      </w:tr>
      <w:tr>
        <w:tc>
          <w:tcPr>
            <w:tcW w:type="dxa" w:w="2340"/>
            <w:shd w:fill="F8FAFC"/>
            <w:tcMar>
              <w:top w:w="80" w:type="dxa"/>
              <w:bottom w:w="80" w:type="dxa"/>
              <w:left w:w="120" w:type="dxa"/>
              <w:right w:w="120" w:type="dxa"/>
            </w:tcMar>
          </w:tcPr>
          <w:p>
            <w:r>
              <w:rPr>
                <w:rFonts w:ascii="Calibri" w:hAnsi="Calibri"/>
                <w:color w:val="334155"/>
                <w:sz w:val="19"/>
              </w:rPr>
              <w:t>public_07 - public_08 (Cold Start)</w:t>
            </w:r>
          </w:p>
        </w:tc>
        <w:tc>
          <w:tcPr>
            <w:tcW w:type="dxa" w:w="2340"/>
            <w:shd w:fill="F8FAFC"/>
            <w:tcMar>
              <w:top w:w="80" w:type="dxa"/>
              <w:bottom w:w="80" w:type="dxa"/>
              <w:left w:w="120" w:type="dxa"/>
              <w:right w:w="120" w:type="dxa"/>
            </w:tcMar>
          </w:tcPr>
          <w:p>
            <w:pPr>
              <w:jc w:val="right"/>
            </w:pPr>
            <w:r>
              <w:rPr>
                <w:rFonts w:ascii="Calibri" w:hAnsi="Calibri"/>
                <w:color w:val="334155"/>
                <w:sz w:val="19"/>
              </w:rPr>
              <w:t>400</w:t>
            </w:r>
          </w:p>
        </w:tc>
        <w:tc>
          <w:tcPr>
            <w:tcW w:type="dxa" w:w="2340"/>
            <w:shd w:fill="F8FAFC"/>
            <w:tcMar>
              <w:top w:w="80" w:type="dxa"/>
              <w:bottom w:w="80" w:type="dxa"/>
              <w:left w:w="120" w:type="dxa"/>
              <w:right w:w="120" w:type="dxa"/>
            </w:tcMar>
          </w:tcPr>
          <w:p>
            <w:pPr>
              <w:jc w:val="right"/>
            </w:pPr>
            <w:r>
              <w:rPr>
                <w:rFonts w:ascii="Calibri" w:hAnsi="Calibri"/>
                <w:color w:val="334155"/>
                <w:sz w:val="19"/>
              </w:rPr>
              <w:t>121</w:t>
            </w:r>
          </w:p>
        </w:tc>
        <w:tc>
          <w:tcPr>
            <w:tcW w:type="dxa" w:w="2340"/>
            <w:shd w:fill="F8FAFC"/>
            <w:tcMar>
              <w:top w:w="80" w:type="dxa"/>
              <w:bottom w:w="80" w:type="dxa"/>
              <w:left w:w="120" w:type="dxa"/>
              <w:right w:w="120" w:type="dxa"/>
            </w:tcMar>
          </w:tcPr>
          <w:p>
            <w:pPr>
              <w:jc w:val="right"/>
            </w:pPr>
            <w:r>
              <w:rPr>
                <w:rFonts w:ascii="Calibri" w:hAnsi="Calibri"/>
                <w:color w:val="334155"/>
                <w:sz w:val="19"/>
              </w:rPr>
              <w:t>256</w:t>
            </w:r>
          </w:p>
        </w:tc>
      </w:tr>
      <w:tr>
        <w:tc>
          <w:tcPr>
            <w:tcW w:type="dxa" w:w="2340"/>
            <w:shd w:fill="FFFFFF"/>
            <w:tcMar>
              <w:top w:w="80" w:type="dxa"/>
              <w:bottom w:w="80" w:type="dxa"/>
              <w:left w:w="120" w:type="dxa"/>
              <w:right w:w="120" w:type="dxa"/>
            </w:tcMar>
          </w:tcPr>
          <w:p>
            <w:r>
              <w:rPr>
                <w:rFonts w:ascii="Calibri" w:hAnsi="Calibri"/>
                <w:color w:val="334155"/>
                <w:sz w:val="19"/>
              </w:rPr>
              <w:t>public_09 - public_10 (Sparse Geometry)</w:t>
            </w:r>
          </w:p>
        </w:tc>
        <w:tc>
          <w:tcPr>
            <w:tcW w:type="dxa" w:w="2340"/>
            <w:shd w:fill="FFFFFF"/>
            <w:tcMar>
              <w:top w:w="80" w:type="dxa"/>
              <w:bottom w:w="80" w:type="dxa"/>
              <w:left w:w="120" w:type="dxa"/>
              <w:right w:w="120" w:type="dxa"/>
            </w:tcMar>
          </w:tcPr>
          <w:p>
            <w:pPr>
              <w:jc w:val="right"/>
            </w:pPr>
            <w:r>
              <w:rPr>
                <w:rFonts w:ascii="Calibri" w:hAnsi="Calibri"/>
                <w:color w:val="334155"/>
                <w:sz w:val="19"/>
              </w:rPr>
              <w:t>400</w:t>
            </w:r>
          </w:p>
        </w:tc>
        <w:tc>
          <w:tcPr>
            <w:tcW w:type="dxa" w:w="2340"/>
            <w:shd w:fill="FFFFFF"/>
            <w:tcMar>
              <w:top w:w="80" w:type="dxa"/>
              <w:bottom w:w="80" w:type="dxa"/>
              <w:left w:w="120" w:type="dxa"/>
              <w:right w:w="120" w:type="dxa"/>
            </w:tcMar>
          </w:tcPr>
          <w:p>
            <w:pPr>
              <w:jc w:val="right"/>
            </w:pPr>
            <w:r>
              <w:rPr>
                <w:rFonts w:ascii="Calibri" w:hAnsi="Calibri"/>
                <w:color w:val="334155"/>
                <w:sz w:val="19"/>
              </w:rPr>
              <w:t>123</w:t>
            </w:r>
          </w:p>
        </w:tc>
        <w:tc>
          <w:tcPr>
            <w:tcW w:type="dxa" w:w="2340"/>
            <w:shd w:fill="FFFFFF"/>
            <w:tcMar>
              <w:top w:w="80" w:type="dxa"/>
              <w:bottom w:w="80" w:type="dxa"/>
              <w:left w:w="120" w:type="dxa"/>
              <w:right w:w="120" w:type="dxa"/>
            </w:tcMar>
          </w:tcPr>
          <w:p>
            <w:pPr>
              <w:jc w:val="right"/>
            </w:pPr>
            <w:r>
              <w:rPr>
                <w:rFonts w:ascii="Calibri" w:hAnsi="Calibri"/>
                <w:color w:val="334155"/>
                <w:sz w:val="19"/>
              </w:rPr>
              <w:t>253</w:t>
            </w:r>
          </w:p>
        </w:tc>
      </w:tr>
      <w:tr>
        <w:tc>
          <w:tcPr>
            <w:tcW w:type="dxa" w:w="2340"/>
            <w:shd w:fill="E2E8F0"/>
            <w:tcMar>
              <w:top w:w="80" w:type="dxa"/>
              <w:bottom w:w="80" w:type="dxa"/>
              <w:left w:w="120" w:type="dxa"/>
              <w:right w:w="120" w:type="dxa"/>
            </w:tcMar>
          </w:tcPr>
          <w:p>
            <w:r>
              <w:rPr>
                <w:rFonts w:ascii="Calibri" w:hAnsi="Calibri"/>
                <w:b/>
                <w:color w:val="1E3A8A"/>
                <w:sz w:val="19"/>
              </w:rPr>
              <w:t>TOTAL BENCHMARK CORPUS</w:t>
            </w:r>
          </w:p>
        </w:tc>
        <w:tc>
          <w:tcPr>
            <w:tcW w:type="dxa" w:w="2340"/>
            <w:shd w:fill="E2E8F0"/>
            <w:tcMar>
              <w:top w:w="80" w:type="dxa"/>
              <w:bottom w:w="80" w:type="dxa"/>
              <w:left w:w="120" w:type="dxa"/>
              <w:right w:w="120" w:type="dxa"/>
            </w:tcMar>
          </w:tcPr>
          <w:p>
            <w:pPr>
              <w:jc w:val="right"/>
            </w:pPr>
            <w:r>
              <w:rPr>
                <w:rFonts w:ascii="Calibri" w:hAnsi="Calibri"/>
                <w:b/>
                <w:color w:val="1E3A8A"/>
                <w:sz w:val="19"/>
              </w:rPr>
              <w:t>2,000</w:t>
            </w:r>
          </w:p>
        </w:tc>
        <w:tc>
          <w:tcPr>
            <w:tcW w:type="dxa" w:w="2340"/>
            <w:shd w:fill="E2E8F0"/>
            <w:tcMar>
              <w:top w:w="80" w:type="dxa"/>
              <w:bottom w:w="80" w:type="dxa"/>
              <w:left w:w="120" w:type="dxa"/>
              <w:right w:w="120" w:type="dxa"/>
            </w:tcMar>
          </w:tcPr>
          <w:p>
            <w:pPr>
              <w:jc w:val="right"/>
            </w:pPr>
            <w:r>
              <w:rPr>
                <w:rFonts w:ascii="Calibri" w:hAnsi="Calibri"/>
                <w:b/>
                <w:color w:val="1E3A8A"/>
                <w:sz w:val="19"/>
              </w:rPr>
              <w:t>613</w:t>
            </w:r>
          </w:p>
        </w:tc>
        <w:tc>
          <w:tcPr>
            <w:tcW w:type="dxa" w:w="2340"/>
            <w:shd w:fill="E2E8F0"/>
            <w:tcMar>
              <w:top w:w="80" w:type="dxa"/>
              <w:bottom w:w="80" w:type="dxa"/>
              <w:left w:w="120" w:type="dxa"/>
              <w:right w:w="120" w:type="dxa"/>
            </w:tcMar>
          </w:tcPr>
          <w:p>
            <w:pPr>
              <w:jc w:val="right"/>
            </w:pPr>
            <w:r>
              <w:rPr>
                <w:rFonts w:ascii="Calibri" w:hAnsi="Calibri"/>
                <w:b/>
                <w:color w:val="1E3A8A"/>
                <w:sz w:val="19"/>
              </w:rPr>
              <w:t>1,270</w:t>
            </w:r>
          </w:p>
        </w:tc>
      </w:tr>
    </w:tbl>
    <w:p>
      <w:pPr>
        <w:spacing w:after="120"/>
      </w:pPr>
    </w:p>
    <w:p>
      <w:pPr>
        <w:keepNext/>
        <w:spacing w:before="320" w:after="120"/>
      </w:pPr>
      <w:r>
        <w:rPr>
          <w:rFonts w:ascii="Calibri" w:hAnsi="Calibri"/>
          <w:b/>
          <w:color w:val="1E3A8A"/>
          <w:sz w:val="32"/>
        </w:rPr>
        <w:t>2. Demographic &amp; Descriptive Findings</w:t>
      </w:r>
    </w:p>
    <w:p>
      <w:pPr>
        <w:spacing w:before="0" w:after="120" w:line="276" w:lineRule="auto"/>
      </w:pPr>
      <w:r>
        <w:rPr>
          <w:rFonts w:ascii="Calibri" w:hAnsi="Calibri"/>
          <w:color w:val="334155"/>
          <w:sz w:val="21"/>
        </w:rPr>
        <w:t>Our exploratory data analysis examined marginal and joint distributions across age, geographic zones, and lifestyle preferences to isolate systemic filtering bottlenecks.</w:t>
      </w:r>
    </w:p>
    <w:p>
      <w:pPr>
        <w:keepNext/>
        <w:spacing w:before="240" w:after="80"/>
      </w:pPr>
      <w:r>
        <w:rPr>
          <w:rFonts w:ascii="Calibri" w:hAnsi="Calibri"/>
          <w:b/>
          <w:color w:val="2563EB"/>
          <w:sz w:val="26"/>
        </w:rPr>
        <w:t>2.1 Age Distributions &amp; Asymmetric Preference Windows</w:t>
      </w:r>
    </w:p>
    <w:p>
      <w:pPr>
        <w:spacing w:before="0" w:after="120" w:line="276" w:lineRule="auto"/>
      </w:pPr>
      <w:r>
        <w:rPr>
          <w:rFonts w:ascii="Calibri" w:hAnsi="Calibri"/>
          <w:color w:val="334155"/>
          <w:sz w:val="21"/>
        </w:rPr>
        <w:t>The overall population mean age is 32.7 years (standard deviation: 5.4 years; IQR: 8.0 years). Over 54% of participants are concentrated between 26 and 35 years old. However, because members set asymmetric acceptable age ranges (e.g., [min_age, max_age]), reciprocal compatibility creates severe edge asymmetry: older participants (&gt;40) find that younger candidates rarely accept their age bracket, resulting in truncated degree distributions for mature participants.</w:t>
      </w:r>
    </w:p>
    <w:p>
      <w:pPr>
        <w:keepNext/>
        <w:spacing w:before="160" w:after="80"/>
        <w:jc w:val="center"/>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chart_01_age_distribution.png"/>
                    <pic:cNvPicPr/>
                  </pic:nvPicPr>
                  <pic:blipFill>
                    <a:blip r:embed="rId11"/>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2: Empirical Age Distribution and Asymmetric Reciprocal Age Acceptance Windows</w:t>
      </w:r>
    </w:p>
    <w:p>
      <w:pPr>
        <w:keepNext/>
        <w:spacing w:before="240" w:after="80"/>
      </w:pPr>
      <w:r>
        <w:rPr>
          <w:rFonts w:ascii="Calibri" w:hAnsi="Calibri"/>
          <w:b/>
          <w:color w:val="2563EB"/>
          <w:sz w:val="26"/>
        </w:rPr>
        <w:t>2.2 Geographic Density Imbalance &amp; Cluster Fragmentation</w:t>
      </w:r>
    </w:p>
    <w:p>
      <w:pPr>
        <w:spacing w:before="0" w:after="120" w:line="276" w:lineRule="auto"/>
      </w:pPr>
      <w:r>
        <w:rPr>
          <w:rFonts w:ascii="Calibri" w:hAnsi="Calibri"/>
          <w:color w:val="334155"/>
          <w:sz w:val="21"/>
        </w:rPr>
        <w:t>In the standard 4-zone environment, member density exhibits extreme skew: Zone A contains 60.0% of all members, Zone B has 25.0%, Zone C has 10.0%, and Zone D has only 5.0%. When scaling to the 12-zone sparse scenario family, the geographic graph fragments into isolated demographic islands, causing feasible candidate connectivity to collapse by over 70%.</w:t>
      </w:r>
    </w:p>
    <w:p>
      <w:pPr>
        <w:keepNext/>
        <w:spacing w:before="160" w:after="80"/>
        <w:jc w:val="center"/>
      </w:pPr>
      <w:r>
        <w:drawing>
          <wp:inline xmlns:a="http://schemas.openxmlformats.org/drawingml/2006/main" xmlns:pic="http://schemas.openxmlformats.org/drawingml/2006/picture">
            <wp:extent cx="5486400" cy="3072384"/>
            <wp:docPr id="3" name="Picture 3"/>
            <wp:cNvGraphicFramePr>
              <a:graphicFrameLocks noChangeAspect="1"/>
            </wp:cNvGraphicFramePr>
            <a:graphic>
              <a:graphicData uri="http://schemas.openxmlformats.org/drawingml/2006/picture">
                <pic:pic>
                  <pic:nvPicPr>
                    <pic:cNvPr id="0" name="chart_02_geographic_distribution.png"/>
                    <pic:cNvPicPr/>
                  </pic:nvPicPr>
                  <pic:blipFill>
                    <a:blip r:embed="rId12"/>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3: Geographic Density Imbalance Across Zones and Sparse Topology Fragmentation</w:t>
      </w:r>
    </w:p>
    <w:p>
      <w:pPr>
        <w:keepNext/>
        <w:spacing w:before="240" w:after="80"/>
      </w:pPr>
      <w:r>
        <w:rPr>
          <w:rFonts w:ascii="Calibri" w:hAnsi="Calibri"/>
          <w:b/>
          <w:color w:val="2563EB"/>
          <w:sz w:val="26"/>
        </w:rPr>
        <w:t>2.3 Family &amp; Lifestyle Hard Filters</w:t>
      </w:r>
    </w:p>
    <w:p>
      <w:pPr>
        <w:spacing w:before="0" w:after="120" w:line="276" w:lineRule="auto"/>
      </w:pPr>
      <w:r>
        <w:rPr>
          <w:rFonts w:ascii="Calibri" w:hAnsi="Calibri"/>
          <w:color w:val="334155"/>
          <w:sz w:val="21"/>
        </w:rPr>
        <w:t>75% of participants are non-smokers, and 50% strictly mandate a non-smoking partner. Because partner smoking preference is unasked for over 65% of members upon arrival, reciprocal smoking compatibility cannot be confirmed without active clarification. Similarly, plans for children and current parental status act as absolute hard barriers that immediately eliminate mismatched pairs.</w:t>
      </w:r>
    </w:p>
    <w:p>
      <w:pPr>
        <w:keepNext/>
        <w:spacing w:before="320" w:after="120"/>
      </w:pPr>
      <w:r>
        <w:rPr>
          <w:rFonts w:ascii="Calibri" w:hAnsi="Calibri"/>
          <w:b/>
          <w:color w:val="1E3A8A"/>
          <w:sz w:val="32"/>
        </w:rPr>
        <w:t>3. Pair-Level Cartesian Feasibility Modeling (199,000 Edges)</w:t>
      </w:r>
    </w:p>
    <w:p>
      <w:pPr>
        <w:spacing w:before="0" w:after="120" w:line="276" w:lineRule="auto"/>
      </w:pPr>
      <w:r>
        <w:rPr>
          <w:rFonts w:ascii="Calibri" w:hAnsi="Calibri"/>
          <w:color w:val="334155"/>
          <w:sz w:val="21"/>
        </w:rPr>
        <w:t>Standard machine learning baselines model participants individually. To capture true matching dynamics, we expanded the 2,000 profiles into within-pool Cartesian pair combinations, generating exactly 199,000 candidate edges (19,900 pairs per pool across 10 pools). Each pair was evaluated against the official 11 reciprocal hard rules (22 directional checks) specified in the problem contract.</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1E3A8A"/>
            <w:tcMar>
              <w:top w:w="100" w:type="dxa"/>
              <w:bottom w:w="100" w:type="dxa"/>
              <w:left w:w="120" w:type="dxa"/>
              <w:right w:w="120" w:type="dxa"/>
            </w:tcMar>
          </w:tcPr>
          <w:p>
            <w:pPr>
              <w:jc w:val="center"/>
            </w:pPr>
            <w:r>
              <w:rPr>
                <w:rFonts w:ascii="Calibri" w:hAnsi="Calibri"/>
                <w:b/>
                <w:color w:val="FFFFFF"/>
                <w:sz w:val="19"/>
              </w:rPr>
              <w:t>Feasibility Category</w:t>
            </w:r>
          </w:p>
        </w:tc>
        <w:tc>
          <w:tcPr>
            <w:tcW w:type="dxa" w:w="2340"/>
            <w:shd w:fill="1E3A8A"/>
            <w:tcMar>
              <w:top w:w="100" w:type="dxa"/>
              <w:bottom w:w="100" w:type="dxa"/>
              <w:left w:w="120" w:type="dxa"/>
              <w:right w:w="120" w:type="dxa"/>
            </w:tcMar>
          </w:tcPr>
          <w:p>
            <w:pPr>
              <w:jc w:val="center"/>
            </w:pPr>
            <w:r>
              <w:rPr>
                <w:rFonts w:ascii="Calibri" w:hAnsi="Calibri"/>
                <w:b/>
                <w:color w:val="FFFFFF"/>
                <w:sz w:val="19"/>
              </w:rPr>
              <w:t>Pair Count</w:t>
            </w:r>
          </w:p>
        </w:tc>
        <w:tc>
          <w:tcPr>
            <w:tcW w:type="dxa" w:w="2340"/>
            <w:shd w:fill="1E3A8A"/>
            <w:tcMar>
              <w:top w:w="100" w:type="dxa"/>
              <w:bottom w:w="100" w:type="dxa"/>
              <w:left w:w="120" w:type="dxa"/>
              <w:right w:w="120" w:type="dxa"/>
            </w:tcMar>
          </w:tcPr>
          <w:p>
            <w:pPr>
              <w:jc w:val="center"/>
            </w:pPr>
            <w:r>
              <w:rPr>
                <w:rFonts w:ascii="Calibri" w:hAnsi="Calibri"/>
                <w:b/>
                <w:color w:val="FFFFFF"/>
                <w:sz w:val="19"/>
              </w:rPr>
              <w:t>Pool Percentage</w:t>
            </w:r>
          </w:p>
        </w:tc>
        <w:tc>
          <w:tcPr>
            <w:tcW w:type="dxa" w:w="2340"/>
            <w:shd w:fill="1E3A8A"/>
            <w:tcMar>
              <w:top w:w="100" w:type="dxa"/>
              <w:bottom w:w="100" w:type="dxa"/>
              <w:left w:w="120" w:type="dxa"/>
              <w:right w:w="120" w:type="dxa"/>
            </w:tcMar>
          </w:tcPr>
          <w:p>
            <w:pPr>
              <w:jc w:val="center"/>
            </w:pPr>
            <w:r>
              <w:rPr>
                <w:rFonts w:ascii="Calibri" w:hAnsi="Calibri"/>
                <w:b/>
                <w:color w:val="FFFFFF"/>
                <w:sz w:val="19"/>
              </w:rPr>
              <w:t>Operational Meaning</w:t>
            </w:r>
          </w:p>
        </w:tc>
      </w:tr>
      <w:tr>
        <w:tc>
          <w:tcPr>
            <w:tcW w:type="dxa" w:w="2340"/>
            <w:shd w:fill="F8FAFC"/>
            <w:tcMar>
              <w:top w:w="80" w:type="dxa"/>
              <w:bottom w:w="80" w:type="dxa"/>
              <w:left w:w="120" w:type="dxa"/>
              <w:right w:w="120" w:type="dxa"/>
            </w:tcMar>
          </w:tcPr>
          <w:p>
            <w:r>
              <w:rPr>
                <w:rFonts w:ascii="Calibri" w:hAnsi="Calibri"/>
                <w:b/>
                <w:color w:val="1E3A8A"/>
                <w:sz w:val="19"/>
              </w:rPr>
              <w:t>Confirmed Feasible</w:t>
            </w:r>
          </w:p>
        </w:tc>
        <w:tc>
          <w:tcPr>
            <w:tcW w:type="dxa" w:w="2340"/>
            <w:shd w:fill="F8FAFC"/>
            <w:tcMar>
              <w:top w:w="80" w:type="dxa"/>
              <w:bottom w:w="80" w:type="dxa"/>
              <w:left w:w="120" w:type="dxa"/>
              <w:right w:w="120" w:type="dxa"/>
            </w:tcMar>
          </w:tcPr>
          <w:p>
            <w:pPr>
              <w:jc w:val="right"/>
            </w:pPr>
            <w:r>
              <w:rPr>
                <w:rFonts w:ascii="Calibri" w:hAnsi="Calibri"/>
                <w:color w:val="334155"/>
                <w:sz w:val="19"/>
              </w:rPr>
              <w:t>3,024</w:t>
            </w:r>
          </w:p>
        </w:tc>
        <w:tc>
          <w:tcPr>
            <w:tcW w:type="dxa" w:w="2340"/>
            <w:shd w:fill="F8FAFC"/>
            <w:tcMar>
              <w:top w:w="80" w:type="dxa"/>
              <w:bottom w:w="80" w:type="dxa"/>
              <w:left w:w="120" w:type="dxa"/>
              <w:right w:w="120" w:type="dxa"/>
            </w:tcMar>
          </w:tcPr>
          <w:p>
            <w:pPr>
              <w:jc w:val="right"/>
            </w:pPr>
            <w:r>
              <w:rPr>
                <w:rFonts w:ascii="Calibri" w:hAnsi="Calibri"/>
                <w:color w:val="334155"/>
                <w:sz w:val="19"/>
              </w:rPr>
              <w:t>1.52%</w:t>
            </w:r>
          </w:p>
        </w:tc>
        <w:tc>
          <w:tcPr>
            <w:tcW w:type="dxa" w:w="2340"/>
            <w:shd w:fill="F8FAFC"/>
            <w:tcMar>
              <w:top w:w="80" w:type="dxa"/>
              <w:bottom w:w="80" w:type="dxa"/>
              <w:left w:w="120" w:type="dxa"/>
              <w:right w:w="120" w:type="dxa"/>
            </w:tcMar>
          </w:tcPr>
          <w:p>
            <w:r>
              <w:rPr>
                <w:rFonts w:ascii="Calibri" w:hAnsi="Calibri"/>
                <w:color w:val="334155"/>
                <w:sz w:val="19"/>
              </w:rPr>
              <w:t>All 11 reciprocal hard constraints fully verified in both directions.</w:t>
            </w:r>
          </w:p>
        </w:tc>
      </w:tr>
      <w:tr>
        <w:tc>
          <w:tcPr>
            <w:tcW w:type="dxa" w:w="2340"/>
            <w:shd w:fill="FFFFFF"/>
            <w:tcMar>
              <w:top w:w="80" w:type="dxa"/>
              <w:bottom w:w="80" w:type="dxa"/>
              <w:left w:w="120" w:type="dxa"/>
              <w:right w:w="120" w:type="dxa"/>
            </w:tcMar>
          </w:tcPr>
          <w:p>
            <w:r>
              <w:rPr>
                <w:rFonts w:ascii="Calibri" w:hAnsi="Calibri"/>
                <w:b/>
                <w:color w:val="1E3A8A"/>
                <w:sz w:val="19"/>
              </w:rPr>
              <w:t>Needs Clarification (Uncertain)</w:t>
            </w:r>
          </w:p>
        </w:tc>
        <w:tc>
          <w:tcPr>
            <w:tcW w:type="dxa" w:w="2340"/>
            <w:shd w:fill="FFFFFF"/>
            <w:tcMar>
              <w:top w:w="80" w:type="dxa"/>
              <w:bottom w:w="80" w:type="dxa"/>
              <w:left w:w="120" w:type="dxa"/>
              <w:right w:w="120" w:type="dxa"/>
            </w:tcMar>
          </w:tcPr>
          <w:p>
            <w:pPr>
              <w:jc w:val="right"/>
            </w:pPr>
            <w:r>
              <w:rPr>
                <w:rFonts w:ascii="Calibri" w:hAnsi="Calibri"/>
                <w:color w:val="334155"/>
                <w:sz w:val="19"/>
              </w:rPr>
              <w:t>40,715</w:t>
            </w:r>
          </w:p>
        </w:tc>
        <w:tc>
          <w:tcPr>
            <w:tcW w:type="dxa" w:w="2340"/>
            <w:shd w:fill="FFFFFF"/>
            <w:tcMar>
              <w:top w:w="80" w:type="dxa"/>
              <w:bottom w:w="80" w:type="dxa"/>
              <w:left w:w="120" w:type="dxa"/>
              <w:right w:w="120" w:type="dxa"/>
            </w:tcMar>
          </w:tcPr>
          <w:p>
            <w:pPr>
              <w:jc w:val="right"/>
            </w:pPr>
            <w:r>
              <w:rPr>
                <w:rFonts w:ascii="Calibri" w:hAnsi="Calibri"/>
                <w:color w:val="334155"/>
                <w:sz w:val="19"/>
              </w:rPr>
              <w:t>20.46%</w:t>
            </w:r>
          </w:p>
        </w:tc>
        <w:tc>
          <w:tcPr>
            <w:tcW w:type="dxa" w:w="2340"/>
            <w:shd w:fill="FFFFFF"/>
            <w:tcMar>
              <w:top w:w="80" w:type="dxa"/>
              <w:bottom w:w="80" w:type="dxa"/>
              <w:left w:w="120" w:type="dxa"/>
              <w:right w:w="120" w:type="dxa"/>
            </w:tcMar>
          </w:tcPr>
          <w:p>
            <w:r>
              <w:rPr>
                <w:rFonts w:ascii="Calibri" w:hAnsi="Calibri"/>
                <w:color w:val="334155"/>
                <w:sz w:val="19"/>
              </w:rPr>
              <w:t>No known violations; blocked exclusively by unasked hard fields.</w:t>
            </w:r>
          </w:p>
        </w:tc>
      </w:tr>
      <w:tr>
        <w:tc>
          <w:tcPr>
            <w:tcW w:type="dxa" w:w="2340"/>
            <w:shd w:fill="F8FAFC"/>
            <w:tcMar>
              <w:top w:w="80" w:type="dxa"/>
              <w:bottom w:w="80" w:type="dxa"/>
              <w:left w:w="120" w:type="dxa"/>
              <w:right w:w="120" w:type="dxa"/>
            </w:tcMar>
          </w:tcPr>
          <w:p>
            <w:r>
              <w:rPr>
                <w:rFonts w:ascii="Calibri" w:hAnsi="Calibri"/>
                <w:b/>
                <w:color w:val="1E3A8A"/>
                <w:sz w:val="19"/>
              </w:rPr>
              <w:t>Confirmed Incompatible</w:t>
            </w:r>
          </w:p>
        </w:tc>
        <w:tc>
          <w:tcPr>
            <w:tcW w:type="dxa" w:w="2340"/>
            <w:shd w:fill="F8FAFC"/>
            <w:tcMar>
              <w:top w:w="80" w:type="dxa"/>
              <w:bottom w:w="80" w:type="dxa"/>
              <w:left w:w="120" w:type="dxa"/>
              <w:right w:w="120" w:type="dxa"/>
            </w:tcMar>
          </w:tcPr>
          <w:p>
            <w:pPr>
              <w:jc w:val="right"/>
            </w:pPr>
            <w:r>
              <w:rPr>
                <w:rFonts w:ascii="Calibri" w:hAnsi="Calibri"/>
                <w:color w:val="334155"/>
                <w:sz w:val="19"/>
              </w:rPr>
              <w:t>155,261</w:t>
            </w:r>
          </w:p>
        </w:tc>
        <w:tc>
          <w:tcPr>
            <w:tcW w:type="dxa" w:w="2340"/>
            <w:shd w:fill="F8FAFC"/>
            <w:tcMar>
              <w:top w:w="80" w:type="dxa"/>
              <w:bottom w:w="80" w:type="dxa"/>
              <w:left w:w="120" w:type="dxa"/>
              <w:right w:w="120" w:type="dxa"/>
            </w:tcMar>
          </w:tcPr>
          <w:p>
            <w:pPr>
              <w:jc w:val="right"/>
            </w:pPr>
            <w:r>
              <w:rPr>
                <w:rFonts w:ascii="Calibri" w:hAnsi="Calibri"/>
                <w:color w:val="334155"/>
                <w:sz w:val="19"/>
              </w:rPr>
              <w:t>78.02%</w:t>
            </w:r>
          </w:p>
        </w:tc>
        <w:tc>
          <w:tcPr>
            <w:tcW w:type="dxa" w:w="2340"/>
            <w:shd w:fill="F8FAFC"/>
            <w:tcMar>
              <w:top w:w="80" w:type="dxa"/>
              <w:bottom w:w="80" w:type="dxa"/>
              <w:left w:w="120" w:type="dxa"/>
              <w:right w:w="120" w:type="dxa"/>
            </w:tcMar>
          </w:tcPr>
          <w:p>
            <w:r>
              <w:rPr>
                <w:rFonts w:ascii="Calibri" w:hAnsi="Calibri"/>
                <w:color w:val="334155"/>
                <w:sz w:val="19"/>
              </w:rPr>
              <w:t>Violated at least one hard rule (gender, age window, geography, smoking).</w:t>
            </w:r>
          </w:p>
        </w:tc>
      </w:tr>
    </w:tbl>
    <w:p>
      <w:pPr>
        <w:spacing w:after="120"/>
      </w:pPr>
    </w:p>
    <w:tbl>
      <w:tblPr>
        <w:tblW w:type="auto" w:w="0"/>
        <w:jc w:val="center"/>
        <w:tblLook w:firstColumn="1" w:firstRow="1" w:lastColumn="0" w:lastRow="0" w:noHBand="0" w:noVBand="1" w:val="04A0"/>
      </w:tblPr>
      <w:tblGrid>
        <w:gridCol w:w="9360"/>
      </w:tblGrid>
      <w:tr>
        <w:tc>
          <w:tcPr>
            <w:tcW w:type="dxa" w:w="9360"/>
            <w:shd w:fill="EFF6FF"/>
            <w:tcBorders>
              <w:left w:val="single" w:sz="24" w:space="0" w:color="2563EB"/>
              <w:top w:val="none"/>
              <w:right w:val="none"/>
              <w:bottom w:val="none"/>
            </w:tcBorders>
            <w:tcMar>
              <w:top w:w="140" w:type="dxa"/>
              <w:bottom w:w="140" w:type="dxa"/>
              <w:left w:w="200" w:type="dxa"/>
              <w:right w:w="200" w:type="dxa"/>
            </w:tcMar>
          </w:tcPr>
          <w:p>
            <w:pPr>
              <w:spacing w:before="40" w:after="40" w:line="276" w:lineRule="auto"/>
            </w:pPr>
            <w:r>
              <w:rPr>
                <w:rFonts w:ascii="Calibri" w:hAnsi="Calibri"/>
                <w:b/>
                <w:color w:val="1E3A8A"/>
                <w:sz w:val="20"/>
              </w:rPr>
              <w:t xml:space="preserve">CRITICAL CARTESIAN INSIGHT: </w:t>
            </w:r>
            <w:r>
              <w:rPr>
                <w:rFonts w:ascii="Calibri" w:hAnsi="Calibri"/>
                <w:color w:val="0F172A"/>
                <w:sz w:val="20"/>
              </w:rPr>
              <w:t>Only 1.52% of combinations are confirmed feasible at Day 30, while 20.46% (40,715 pairs) are trapped in uncertainty. The primary design imperative is moving pairs from 'Needs Clarification' to 'Confirmed Feasible' through targeted inquiry.</w:t>
            </w:r>
          </w:p>
        </w:tc>
      </w:tr>
    </w:tbl>
    <w:p>
      <w:pPr>
        <w:spacing w:before="0" w:after="120"/>
      </w:pPr>
    </w:p>
    <w:p>
      <w:pPr>
        <w:keepNext/>
        <w:spacing w:before="240" w:after="80"/>
      </w:pPr>
      <w:r>
        <w:rPr>
          <w:rFonts w:ascii="Calibri" w:hAnsi="Calibri"/>
          <w:b/>
          <w:color w:val="2563EB"/>
          <w:sz w:val="26"/>
        </w:rPr>
        <w:t>3.1 Incompatibility Root Causes Breakdown</w:t>
      </w:r>
    </w:p>
    <w:p>
      <w:pPr>
        <w:spacing w:before="0" w:after="120" w:line="276" w:lineRule="auto"/>
      </w:pPr>
      <w:r>
        <w:rPr>
          <w:rFonts w:ascii="Calibri" w:hAnsi="Calibri"/>
          <w:color w:val="334155"/>
          <w:sz w:val="21"/>
        </w:rPr>
        <w:t>Among the 155,261 confirmed incompatible pairs, the root failure modes break down as follows:</w:t>
      </w:r>
    </w:p>
    <w:p>
      <w:pPr>
        <w:pStyle w:val="ListBullet"/>
        <w:spacing w:before="0" w:after="60" w:line="276" w:lineRule="auto"/>
      </w:pPr>
      <w:r>
        <w:rPr>
          <w:rFonts w:ascii="Calibri" w:hAnsi="Calibri"/>
          <w:b/>
          <w:color w:val="0F172A"/>
          <w:sz w:val="20"/>
        </w:rPr>
        <w:t xml:space="preserve">Gender Orientation Non-Overlap: </w:t>
      </w:r>
      <w:r>
        <w:rPr>
          <w:rFonts w:ascii="Calibri" w:hAnsi="Calibri"/>
          <w:color w:val="334155"/>
          <w:sz w:val="20"/>
        </w:rPr>
        <w:t>46.2% of all eliminations stem from gender preference non-overlap (who_to_meet).</w:t>
      </w:r>
    </w:p>
    <w:p>
      <w:pPr>
        <w:pStyle w:val="ListBullet"/>
        <w:spacing w:before="0" w:after="60" w:line="276" w:lineRule="auto"/>
      </w:pPr>
      <w:r>
        <w:rPr>
          <w:rFonts w:ascii="Calibri" w:hAnsi="Calibri"/>
          <w:b/>
          <w:color w:val="0F172A"/>
          <w:sz w:val="20"/>
        </w:rPr>
        <w:t xml:space="preserve">Geographic Disconnect: </w:t>
      </w:r>
      <w:r>
        <w:rPr>
          <w:rFonts w:ascii="Calibri" w:hAnsi="Calibri"/>
          <w:color w:val="334155"/>
          <w:sz w:val="20"/>
        </w:rPr>
        <w:t>28.5% of eliminations occur due to completely disjoint acceptable geographic zones.</w:t>
      </w:r>
    </w:p>
    <w:p>
      <w:pPr>
        <w:pStyle w:val="ListBullet"/>
        <w:spacing w:before="0" w:after="60" w:line="276" w:lineRule="auto"/>
      </w:pPr>
      <w:r>
        <w:rPr>
          <w:rFonts w:ascii="Calibri" w:hAnsi="Calibri"/>
          <w:b/>
          <w:color w:val="0F172A"/>
          <w:sz w:val="20"/>
        </w:rPr>
        <w:t xml:space="preserve">Age Window Violations: </w:t>
      </w:r>
      <w:r>
        <w:rPr>
          <w:rFonts w:ascii="Calibri" w:hAnsi="Calibri"/>
          <w:color w:val="334155"/>
          <w:sz w:val="20"/>
        </w:rPr>
        <w:t>14.8% fail mutual age boundaries where one participant falls outside the other's range.</w:t>
      </w:r>
    </w:p>
    <w:p>
      <w:pPr>
        <w:pStyle w:val="ListBullet"/>
        <w:spacing w:before="0" w:after="60" w:line="276" w:lineRule="auto"/>
      </w:pPr>
      <w:r>
        <w:rPr>
          <w:rFonts w:ascii="Calibri" w:hAnsi="Calibri"/>
          <w:b/>
          <w:color w:val="0F172A"/>
          <w:sz w:val="20"/>
        </w:rPr>
        <w:t xml:space="preserve">Lifestyle &amp; Children Conflicts: </w:t>
      </w:r>
      <w:r>
        <w:rPr>
          <w:rFonts w:ascii="Calibri" w:hAnsi="Calibri"/>
          <w:color w:val="334155"/>
          <w:sz w:val="20"/>
        </w:rPr>
        <w:t>10.5% fail lifestyle hard constraints (strict smoking bans or conflicting children expectations).</w:t>
      </w:r>
    </w:p>
    <w:p>
      <w:pPr>
        <w:keepNext/>
        <w:spacing w:before="160" w:after="80"/>
        <w:jc w:val="center"/>
      </w:pPr>
      <w:r>
        <w:drawing>
          <wp:inline xmlns:a="http://schemas.openxmlformats.org/drawingml/2006/main" xmlns:pic="http://schemas.openxmlformats.org/drawingml/2006/picture">
            <wp:extent cx="5486400" cy="3072384"/>
            <wp:docPr id="4" name="Picture 4"/>
            <wp:cNvGraphicFramePr>
              <a:graphicFrameLocks noChangeAspect="1"/>
            </wp:cNvGraphicFramePr>
            <a:graphic>
              <a:graphicData uri="http://schemas.openxmlformats.org/drawingml/2006/picture">
                <pic:pic>
                  <pic:nvPicPr>
                    <pic:cNvPr id="0" name="chart_04_incompatibility_causes.png"/>
                    <pic:cNvPicPr/>
                  </pic:nvPicPr>
                  <pic:blipFill>
                    <a:blip r:embed="rId13"/>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4: Root Cause Decomposition for 155,261 Incompatible Cartesian Pair Combinations</w:t>
      </w:r>
    </w:p>
    <w:p>
      <w:pPr>
        <w:keepNext/>
        <w:spacing w:before="320" w:after="120"/>
      </w:pPr>
      <w:r>
        <w:rPr>
          <w:rFonts w:ascii="Calibri" w:hAnsi="Calibri"/>
          <w:b/>
          <w:color w:val="1E3A8A"/>
          <w:sz w:val="32"/>
        </w:rPr>
        <w:t>4. Candidate Availability &amp; The Degree (N) Metric</w:t>
      </w:r>
    </w:p>
    <w:p>
      <w:pPr>
        <w:spacing w:before="0" w:after="120" w:line="276" w:lineRule="auto"/>
      </w:pPr>
      <w:r>
        <w:rPr>
          <w:rFonts w:ascii="Calibri" w:hAnsi="Calibri"/>
          <w:color w:val="334155"/>
          <w:sz w:val="21"/>
        </w:rPr>
        <w:t>We formalized the metric N as the count of members who possess at least one confirmed feasible candidate in their observed state. Analyzing candidate degree distribution revealed critical vulnerabilities in greedy allocation systems:</w:t>
      </w:r>
    </w:p>
    <w:p>
      <w:pPr>
        <w:pStyle w:val="ListBullet"/>
        <w:spacing w:before="0" w:after="60" w:line="276" w:lineRule="auto"/>
      </w:pPr>
      <w:r>
        <w:rPr>
          <w:rFonts w:ascii="Calibri" w:hAnsi="Calibri"/>
          <w:b/>
          <w:color w:val="0F172A"/>
          <w:sz w:val="20"/>
        </w:rPr>
        <w:t xml:space="preserve">Current Feasible N: </w:t>
      </w:r>
      <w:r>
        <w:rPr>
          <w:rFonts w:ascii="Calibri" w:hAnsi="Calibri"/>
          <w:color w:val="334155"/>
          <w:sz w:val="20"/>
        </w:rPr>
        <w:t>1,301 members (65.05% of the total population) have at least one confirmed match.</w:t>
      </w:r>
    </w:p>
    <w:p>
      <w:pPr>
        <w:pStyle w:val="ListBullet"/>
        <w:spacing w:before="0" w:after="60" w:line="276" w:lineRule="auto"/>
      </w:pPr>
      <w:r>
        <w:rPr>
          <w:rFonts w:ascii="Calibri" w:hAnsi="Calibri"/>
          <w:b/>
          <w:color w:val="0F172A"/>
          <w:sz w:val="20"/>
        </w:rPr>
        <w:t xml:space="preserve">Zero-Candidate Members: </w:t>
      </w:r>
      <w:r>
        <w:rPr>
          <w:rFonts w:ascii="Calibri" w:hAnsi="Calibri"/>
          <w:color w:val="334155"/>
          <w:sz w:val="20"/>
        </w:rPr>
        <w:t>699 members (34.95%) have zero confirmed candidates at Day 30.</w:t>
      </w:r>
    </w:p>
    <w:p>
      <w:pPr>
        <w:pStyle w:val="ListBullet"/>
        <w:spacing w:before="0" w:after="60" w:line="276" w:lineRule="auto"/>
      </w:pPr>
      <w:r>
        <w:rPr>
          <w:rFonts w:ascii="Calibri" w:hAnsi="Calibri"/>
          <w:b/>
          <w:color w:val="0F172A"/>
          <w:sz w:val="20"/>
        </w:rPr>
        <w:t xml:space="preserve">Potential N (Upper Bound): </w:t>
      </w:r>
      <w:r>
        <w:rPr>
          <w:rFonts w:ascii="Calibri" w:hAnsi="Calibri"/>
          <w:color w:val="334155"/>
          <w:sz w:val="20"/>
        </w:rPr>
        <w:t>If unasked clarification fields are resolved, potential N surges to 1,942 members (97.10%).</w:t>
      </w:r>
    </w:p>
    <w:p>
      <w:pPr>
        <w:keepNext/>
        <w:spacing w:before="240" w:after="80"/>
      </w:pPr>
      <w:r>
        <w:rPr>
          <w:rFonts w:ascii="Calibri" w:hAnsi="Calibri"/>
          <w:b/>
          <w:color w:val="2563EB"/>
          <w:sz w:val="26"/>
        </w:rPr>
        <w:t>4.1 Candidate Scarcity &amp; The Degree-Scarcity Allocation Bonus</w:t>
      </w:r>
    </w:p>
    <w:p>
      <w:pPr>
        <w:spacing w:before="0" w:after="120" w:line="276" w:lineRule="auto"/>
      </w:pPr>
      <w:r>
        <w:rPr>
          <w:rFonts w:ascii="Calibri" w:hAnsi="Calibri"/>
          <w:color w:val="334155"/>
          <w:sz w:val="21"/>
        </w:rPr>
        <w:t>18.4% of the population have only 1 to 3 feasible candidates. Under standard greedy matching, high-degree 'hub' members consume these scarce candidates, permanently stranding low-degree participants. To counteract this, our data modeling introduced a degree-scarcity allocation bonus that protects scarce individuals:</w:t>
      </w:r>
    </w:p>
    <w:p>
      <w:pPr>
        <w:spacing w:before="0" w:after="120" w:line="276" w:lineRule="auto"/>
      </w:pPr>
      <w:r>
        <w:rPr>
          <w:rFonts w:ascii="Calibri" w:hAnsi="Calibri"/>
          <w:b/>
          <w:color w:val="0F172A"/>
          <w:sz w:val="21"/>
        </w:rPr>
        <w:t xml:space="preserve">Mathematical Formulation: </w:t>
      </w:r>
      <w:r>
        <w:rPr>
          <w:rFonts w:ascii="Calibri" w:hAnsi="Calibri"/>
          <w:color w:val="334155"/>
          <w:sz w:val="21"/>
        </w:rPr>
        <w:t>Scarcity_Bonus = [ 1 / (deg_A + 1) + 1 / (deg_B + 1) ] * 0.10</w:t>
      </w:r>
    </w:p>
    <w:p>
      <w:pPr>
        <w:keepNext/>
        <w:spacing w:before="160" w:after="80"/>
        <w:jc w:val="center"/>
      </w:pPr>
      <w:r>
        <w:drawing>
          <wp:inline xmlns:a="http://schemas.openxmlformats.org/drawingml/2006/main" xmlns:pic="http://schemas.openxmlformats.org/drawingml/2006/picture">
            <wp:extent cx="5486400" cy="3072384"/>
            <wp:docPr id="5" name="Picture 5"/>
            <wp:cNvGraphicFramePr>
              <a:graphicFrameLocks noChangeAspect="1"/>
            </wp:cNvGraphicFramePr>
            <a:graphic>
              <a:graphicData uri="http://schemas.openxmlformats.org/drawingml/2006/picture">
                <pic:pic>
                  <pic:nvPicPr>
                    <pic:cNvPr id="0" name="chart_05_candidate_degrees.png"/>
                    <pic:cNvPicPr/>
                  </pic:nvPicPr>
                  <pic:blipFill>
                    <a:blip r:embed="rId14"/>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5: Candidate Degree Distribution and Identification of Vulnerable Scarcity Cohorts (Degrees 1 to 3)</w:t>
      </w:r>
    </w:p>
    <w:p>
      <w:pPr>
        <w:keepNext/>
        <w:spacing w:before="320" w:after="120"/>
      </w:pPr>
      <w:r>
        <w:rPr>
          <w:rFonts w:ascii="Calibri" w:hAnsi="Calibri"/>
          <w:b/>
          <w:color w:val="1E3A8A"/>
          <w:sz w:val="32"/>
        </w:rPr>
        <w:t>5. Episode Lifecycle, Waiting Dynamics &amp; Response Times</w:t>
      </w:r>
    </w:p>
    <w:p>
      <w:pPr>
        <w:spacing w:before="0" w:after="120" w:line="276" w:lineRule="auto"/>
      </w:pPr>
      <w:r>
        <w:rPr>
          <w:rFonts w:ascii="Calibri" w:hAnsi="Calibri"/>
          <w:color w:val="334155"/>
          <w:sz w:val="21"/>
        </w:rPr>
        <w:t>Auditing the 613 historical introduction records revealed that matching is severely governed by delayed response dynamics. When an introduction is initiated, both participants enter a locked 'Waiting' state during which they cannot receive alternate proposals.</w:t>
      </w:r>
    </w:p>
    <w:p>
      <w:pPr>
        <w:pStyle w:val="ListBullet"/>
        <w:spacing w:before="0" w:after="60" w:line="276" w:lineRule="auto"/>
      </w:pPr>
      <w:r>
        <w:rPr>
          <w:rFonts w:ascii="Calibri" w:hAnsi="Calibri"/>
          <w:b/>
          <w:color w:val="0F172A"/>
          <w:sz w:val="20"/>
        </w:rPr>
        <w:t xml:space="preserve">Mutual Acceptance Rate: </w:t>
      </w:r>
      <w:r>
        <w:rPr>
          <w:rFonts w:ascii="Calibri" w:hAnsi="Calibri"/>
          <w:color w:val="334155"/>
          <w:sz w:val="20"/>
        </w:rPr>
        <w:t>84 introductions (13.70%) resulted in mutual acceptance.</w:t>
      </w:r>
    </w:p>
    <w:p>
      <w:pPr>
        <w:pStyle w:val="ListBullet"/>
        <w:spacing w:before="0" w:after="60" w:line="276" w:lineRule="auto"/>
      </w:pPr>
      <w:r>
        <w:rPr>
          <w:rFonts w:ascii="Calibri" w:hAnsi="Calibri"/>
          <w:b/>
          <w:color w:val="0F172A"/>
          <w:sz w:val="20"/>
        </w:rPr>
        <w:t xml:space="preserve">Rejection Rate: </w:t>
      </w:r>
      <w:r>
        <w:rPr>
          <w:rFonts w:ascii="Calibri" w:hAnsi="Calibri"/>
          <w:color w:val="334155"/>
          <w:sz w:val="20"/>
        </w:rPr>
        <w:t>365 introductions (59.54%) resulted in unilateral or bilateral rejection.</w:t>
      </w:r>
    </w:p>
    <w:p>
      <w:pPr>
        <w:pStyle w:val="ListBullet"/>
        <w:spacing w:before="0" w:after="60" w:line="276" w:lineRule="auto"/>
      </w:pPr>
      <w:r>
        <w:rPr>
          <w:rFonts w:ascii="Calibri" w:hAnsi="Calibri"/>
          <w:b/>
          <w:color w:val="0F172A"/>
          <w:sz w:val="20"/>
        </w:rPr>
        <w:t xml:space="preserve">Expired / Timeout Rate: </w:t>
      </w:r>
      <w:r>
        <w:rPr>
          <w:rFonts w:ascii="Calibri" w:hAnsi="Calibri"/>
          <w:color w:val="334155"/>
          <w:sz w:val="20"/>
        </w:rPr>
        <w:t>164 introductions (26.75%) timed out after the maximum 7-day waiting period without response.</w:t>
      </w:r>
    </w:p>
    <w:p>
      <w:pPr>
        <w:pStyle w:val="ListBullet"/>
        <w:spacing w:before="0" w:after="60" w:line="276" w:lineRule="auto"/>
      </w:pPr>
      <w:r>
        <w:rPr>
          <w:rFonts w:ascii="Calibri" w:hAnsi="Calibri"/>
          <w:b/>
          <w:color w:val="0F172A"/>
          <w:sz w:val="20"/>
        </w:rPr>
        <w:t xml:space="preserve">Empirical Response Latency: </w:t>
      </w:r>
      <w:r>
        <w:rPr>
          <w:rFonts w:ascii="Calibri" w:hAnsi="Calibri"/>
          <w:color w:val="334155"/>
          <w:sz w:val="20"/>
        </w:rPr>
        <w:t>Mean response delay is 3.28 days (Median: 3.0 days; Standard Deviation: 1.84 days).</w:t>
      </w:r>
    </w:p>
    <w:p>
      <w:pPr>
        <w:keepNext/>
        <w:spacing w:before="160" w:after="80"/>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chart_06_outcome_funnel.png"/>
                    <pic:cNvPicPr/>
                  </pic:nvPicPr>
                  <pic:blipFill>
                    <a:blip r:embed="rId15"/>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6: Conversion Funnel and Outcome Distribution for 613 Historical Introductions</w:t>
      </w:r>
    </w:p>
    <w:p>
      <w:pPr>
        <w:keepNext/>
        <w:spacing w:before="160" w:after="80"/>
        <w:jc w:val="center"/>
      </w:pPr>
      <w:r>
        <w:drawing>
          <wp:inline xmlns:a="http://schemas.openxmlformats.org/drawingml/2006/main" xmlns:pic="http://schemas.openxmlformats.org/drawingml/2006/picture">
            <wp:extent cx="5486400" cy="3072384"/>
            <wp:docPr id="7" name="Picture 7"/>
            <wp:cNvGraphicFramePr>
              <a:graphicFrameLocks noChangeAspect="1"/>
            </wp:cNvGraphicFramePr>
            <a:graphic>
              <a:graphicData uri="http://schemas.openxmlformats.org/drawingml/2006/picture">
                <pic:pic>
                  <pic:nvPicPr>
                    <pic:cNvPr id="0" name="chart_07_response_times.png"/>
                    <pic:cNvPicPr/>
                  </pic:nvPicPr>
                  <pic:blipFill>
                    <a:blip r:embed="rId16"/>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7: Empirical Response Delay Distribution (Mean 3.28 Days with 7-Day Hard Timeout)</w:t>
      </w:r>
    </w:p>
    <w:p>
      <w:pPr>
        <w:keepNext/>
        <w:spacing w:before="240" w:after="80"/>
      </w:pPr>
      <w:r>
        <w:rPr>
          <w:rFonts w:ascii="Calibri" w:hAnsi="Calibri"/>
          <w:b/>
          <w:color w:val="2563EB"/>
          <w:sz w:val="26"/>
        </w:rPr>
        <w:t>5.1 Concurrency Lockout Mechanics</w:t>
      </w:r>
    </w:p>
    <w:p>
      <w:pPr>
        <w:spacing w:before="0" w:after="120" w:line="276" w:lineRule="auto"/>
      </w:pPr>
      <w:r>
        <w:rPr>
          <w:rFonts w:ascii="Calibri" w:hAnsi="Calibri"/>
          <w:color w:val="334155"/>
          <w:sz w:val="21"/>
        </w:rPr>
        <w:t>Because 26.8% of introductions expire after 7 days, speculative or low-probability matches impose a catastrophic operational cost: they lock participants out of the matching pool for up to an entire week. Consequently, exploitation policies must demand higher confidence thresholds before committing introductions.</w:t>
      </w:r>
    </w:p>
    <w:p>
      <w:pPr>
        <w:keepNext/>
        <w:spacing w:before="160" w:after="80"/>
        <w:jc w:val="center"/>
      </w:pPr>
      <w:r>
        <w:drawing>
          <wp:inline xmlns:a="http://schemas.openxmlformats.org/drawingml/2006/main" xmlns:pic="http://schemas.openxmlformats.org/drawingml/2006/picture">
            <wp:extent cx="5486400" cy="2194560"/>
            <wp:docPr id="8" name="Picture 8"/>
            <wp:cNvGraphicFramePr>
              <a:graphicFrameLocks noChangeAspect="1"/>
            </wp:cNvGraphicFramePr>
            <a:graphic>
              <a:graphicData uri="http://schemas.openxmlformats.org/drawingml/2006/picture">
                <pic:pic>
                  <pic:nvPicPr>
                    <pic:cNvPr id="0" name="chart_09_matching_lifecycle_process.png"/>
                    <pic:cNvPicPr/>
                  </pic:nvPicPr>
                  <pic:blipFill>
                    <a:blip r:embed="rId17"/>
                    <a:stretch>
                      <a:fillRect/>
                    </a:stretch>
                  </pic:blipFill>
                  <pic:spPr>
                    <a:xfrm>
                      <a:off x="0" y="0"/>
                      <a:ext cx="5486400" cy="2194560"/>
                    </a:xfrm>
                    <a:prstGeom prst="rect"/>
                  </pic:spPr>
                </pic:pic>
              </a:graphicData>
            </a:graphic>
          </wp:inline>
        </w:drawing>
      </w:r>
    </w:p>
    <w:p>
      <w:pPr>
        <w:spacing w:before="40" w:after="200"/>
        <w:jc w:val="center"/>
      </w:pPr>
      <w:r>
        <w:rPr>
          <w:rFonts w:ascii="Calibri" w:hAnsi="Calibri"/>
          <w:i/>
          <w:color w:val="64748B"/>
          <w:sz w:val="18"/>
        </w:rPr>
        <w:t>Figure 8: Two-Phase Daily Sequential Matching Lifecycle with Asking Budget and Concurrency Lockout</w:t>
      </w:r>
    </w:p>
    <w:p>
      <w:pPr>
        <w:keepNext/>
        <w:spacing w:before="320" w:after="120"/>
      </w:pPr>
      <w:r>
        <w:rPr>
          <w:rFonts w:ascii="Calibri" w:hAnsi="Calibri"/>
          <w:b/>
          <w:color w:val="1E3A8A"/>
          <w:sz w:val="32"/>
        </w:rPr>
        <w:t>6. Information Acquisition &amp; Allocation Architecture</w:t>
      </w:r>
    </w:p>
    <w:p>
      <w:pPr>
        <w:spacing w:before="0" w:after="120" w:line="276" w:lineRule="auto"/>
      </w:pPr>
      <w:r>
        <w:rPr>
          <w:rFonts w:ascii="Calibri" w:hAnsi="Calibri"/>
          <w:color w:val="334155"/>
          <w:sz w:val="21"/>
        </w:rPr>
        <w:t>Our analytical findings directly established the two algorithmic pillars of Policy V2.2: targeted information exploration and multi-objective allocation exploitation.</w:t>
      </w:r>
    </w:p>
    <w:p>
      <w:pPr>
        <w:keepNext/>
        <w:spacing w:before="240" w:after="80"/>
      </w:pPr>
      <w:r>
        <w:rPr>
          <w:rFonts w:ascii="Calibri" w:hAnsi="Calibri"/>
          <w:b/>
          <w:color w:val="2563EB"/>
          <w:sz w:val="26"/>
        </w:rPr>
        <w:t>6.1 Exploration Strategy: 12-Unit Budget &amp; Bundle Queries</w:t>
      </w:r>
    </w:p>
    <w:p>
      <w:pPr>
        <w:spacing w:before="0" w:after="120" w:line="276" w:lineRule="auto"/>
      </w:pPr>
      <w:r>
        <w:rPr>
          <w:rFonts w:ascii="Calibri" w:hAnsi="Calibri"/>
          <w:color w:val="334155"/>
          <w:sz w:val="21"/>
        </w:rPr>
        <w:t>The daily 12-unit asking budget is the single most leveraged tool in the simulation. Rather than spending 1 unit on soft individual traits, our analysis proved that executing 3-unit hard bundle queries resolves up to 11 constraints simultaneously. We engineered the Unlock Priority Score to direct budget toward members who unblock the highest volume of high-fit counterparts:</w:t>
      </w:r>
    </w:p>
    <w:p>
      <w:pPr>
        <w:spacing w:before="0" w:after="120" w:line="276" w:lineRule="auto"/>
      </w:pPr>
      <w:r>
        <w:rPr>
          <w:rFonts w:ascii="Calibri" w:hAnsi="Calibri"/>
          <w:b/>
          <w:color w:val="0F172A"/>
          <w:sz w:val="21"/>
        </w:rPr>
        <w:t xml:space="preserve">Unlock Priority Score: </w:t>
      </w:r>
      <w:r>
        <w:rPr>
          <w:rFonts w:ascii="Calibri" w:hAnsi="Calibri"/>
          <w:color w:val="334155"/>
          <w:sz w:val="21"/>
        </w:rPr>
        <w:t>Unlock_Value = N_complete_counterparts * (0.50 + 0.50 * avg_fit) + 0.25 * N_uncertain</w:t>
      </w:r>
    </w:p>
    <w:p>
      <w:pPr>
        <w:keepNext/>
        <w:spacing w:before="240" w:after="80"/>
      </w:pPr>
      <w:r>
        <w:rPr>
          <w:rFonts w:ascii="Calibri" w:hAnsi="Calibri"/>
          <w:b/>
          <w:color w:val="2563EB"/>
          <w:sz w:val="26"/>
        </w:rPr>
        <w:t>6.2 Exploitation Strategy: Policy V2.2 Composite Scoring</w:t>
      </w:r>
    </w:p>
    <w:p>
      <w:pPr>
        <w:spacing w:before="0" w:after="120" w:line="276" w:lineRule="auto"/>
      </w:pPr>
      <w:r>
        <w:rPr>
          <w:rFonts w:ascii="Calibri" w:hAnsi="Calibri"/>
          <w:color w:val="334155"/>
          <w:sz w:val="21"/>
        </w:rPr>
        <w:t>During the allocation phase, Policy V2.2 ranks candidate pairs using a unified composite objective function that blends Bayesian empirical history, soft preference alignment, UCB exploration bonuses, and degree scarcity protection:</w:t>
      </w:r>
    </w:p>
    <w:p>
      <w:pPr>
        <w:spacing w:before="0" w:after="120" w:line="276" w:lineRule="auto"/>
      </w:pPr>
      <w:r>
        <w:rPr>
          <w:rFonts w:ascii="Calibri" w:hAnsi="Calibri"/>
          <w:b/>
          <w:color w:val="0F172A"/>
          <w:sz w:val="21"/>
        </w:rPr>
        <w:t xml:space="preserve">Composite Objective Function: </w:t>
      </w:r>
      <w:r>
        <w:rPr>
          <w:rFonts w:ascii="Calibri" w:hAnsi="Calibri"/>
          <w:color w:val="334155"/>
          <w:sz w:val="21"/>
        </w:rPr>
        <w:t>Match_Score = 0.55 * P_Dirichlet(Success | History) + 0.35 * Soft_Fit + 0.10 * UCB_Bonus + Scarcity_Bonus</w:t>
      </w:r>
    </w:p>
    <w:p>
      <w:pPr>
        <w:pStyle w:val="ListBullet"/>
        <w:spacing w:before="0" w:after="60" w:line="276" w:lineRule="auto"/>
      </w:pPr>
      <w:r>
        <w:rPr>
          <w:rFonts w:ascii="Calibri" w:hAnsi="Calibri"/>
          <w:b/>
          <w:color w:val="0F172A"/>
          <w:sz w:val="20"/>
        </w:rPr>
        <w:t xml:space="preserve">Historical Prior (+0.55): </w:t>
      </w:r>
      <w:r>
        <w:rPr>
          <w:rFonts w:ascii="Calibri" w:hAnsi="Calibri"/>
          <w:color w:val="334155"/>
          <w:sz w:val="20"/>
        </w:rPr>
        <w:t>Bayesian Dirichlet / Laplace prior (alpha=1, beta=3) captures observed acceptance likelihood without overfitting.</w:t>
      </w:r>
    </w:p>
    <w:p>
      <w:pPr>
        <w:pStyle w:val="ListBullet"/>
        <w:spacing w:before="0" w:after="60" w:line="276" w:lineRule="auto"/>
      </w:pPr>
      <w:r>
        <w:rPr>
          <w:rFonts w:ascii="Calibri" w:hAnsi="Calibri"/>
          <w:b/>
          <w:color w:val="0F172A"/>
          <w:sz w:val="20"/>
        </w:rPr>
        <w:t xml:space="preserve">Soft Trait Fit (+0.35): </w:t>
      </w:r>
      <w:r>
        <w:rPr>
          <w:rFonts w:ascii="Calibri" w:hAnsi="Calibri"/>
          <w:color w:val="334155"/>
          <w:sz w:val="20"/>
        </w:rPr>
        <w:t>Relationship goal alignment (+0.70 first date, +0.40 MSMI) dominates soft scoring, supported by communication pace and personality.</w:t>
      </w:r>
    </w:p>
    <w:p>
      <w:pPr>
        <w:pStyle w:val="ListBullet"/>
        <w:spacing w:before="0" w:after="60" w:line="276" w:lineRule="auto"/>
      </w:pPr>
      <w:r>
        <w:rPr>
          <w:rFonts w:ascii="Calibri" w:hAnsi="Calibri"/>
          <w:b/>
          <w:color w:val="0F172A"/>
          <w:sz w:val="20"/>
        </w:rPr>
        <w:t xml:space="preserve">Exploration Term (+0.10): </w:t>
      </w:r>
      <w:r>
        <w:rPr>
          <w:rFonts w:ascii="Calibri" w:hAnsi="Calibri"/>
          <w:color w:val="334155"/>
          <w:sz w:val="20"/>
        </w:rPr>
        <w:t>UCB uncertainty bonus encourages opportunistic matching when historical data is sparse.</w:t>
      </w:r>
    </w:p>
    <w:p>
      <w:pPr>
        <w:pStyle w:val="ListBullet"/>
        <w:spacing w:before="0" w:after="60" w:line="276" w:lineRule="auto"/>
      </w:pPr>
      <w:r>
        <w:rPr>
          <w:rFonts w:ascii="Calibri" w:hAnsi="Calibri"/>
          <w:b/>
          <w:color w:val="0F172A"/>
          <w:sz w:val="20"/>
        </w:rPr>
        <w:t xml:space="preserve">Scarcity Bonus: </w:t>
      </w:r>
      <w:r>
        <w:rPr>
          <w:rFonts w:ascii="Calibri" w:hAnsi="Calibri"/>
          <w:color w:val="334155"/>
          <w:sz w:val="20"/>
        </w:rPr>
        <w:t>Scarcity bonus prioritizes vulnerable members before high-degree competitors deplete their candidates.</w:t>
      </w:r>
    </w:p>
    <w:p>
      <w:pPr>
        <w:keepNext/>
        <w:spacing w:before="320" w:after="120"/>
      </w:pPr>
      <w:r>
        <w:rPr>
          <w:rFonts w:ascii="Calibri" w:hAnsi="Calibri"/>
          <w:b/>
          <w:color w:val="1E3A8A"/>
          <w:sz w:val="32"/>
        </w:rPr>
        <w:t>7. Rigorous Policy Validation &amp; Benchmark Results</w:t>
      </w:r>
    </w:p>
    <w:p>
      <w:pPr>
        <w:spacing w:before="0" w:after="120" w:line="276" w:lineRule="auto"/>
      </w:pPr>
      <w:r>
        <w:rPr>
          <w:rFonts w:ascii="Calibri" w:hAnsi="Calibri"/>
          <w:color w:val="334155"/>
          <w:sz w:val="21"/>
        </w:rPr>
        <w:t>Policy V2.2 was rigorously benchmarked across 120 full 60-day simulation episodes covering 6 distinct scenario families (Development, Delayed Response, Cold Start, Sparse Geometry, Accelerated Arrival, and Balanced). Each scenario was evaluated across 5 random seeds to ensure statistical significance.</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1560"/>
        <w:gridCol w:w="1560"/>
        <w:gridCol w:w="1560"/>
        <w:gridCol w:w="1560"/>
        <w:gridCol w:w="1560"/>
        <w:gridCol w:w="1560"/>
      </w:tblGrid>
      <w:tr>
        <w:tc>
          <w:tcPr>
            <w:tcW w:type="dxa" w:w="1560"/>
            <w:shd w:fill="1E3A8A"/>
            <w:tcMar>
              <w:top w:w="100" w:type="dxa"/>
              <w:bottom w:w="100" w:type="dxa"/>
              <w:left w:w="100" w:type="dxa"/>
              <w:right w:w="100" w:type="dxa"/>
            </w:tcMar>
          </w:tcPr>
          <w:p>
            <w:pPr>
              <w:jc w:val="center"/>
            </w:pPr>
            <w:r>
              <w:rPr>
                <w:rFonts w:ascii="Calibri" w:hAnsi="Calibri"/>
                <w:b/>
                <w:color w:val="FFFFFF"/>
                <w:sz w:val="18"/>
              </w:rPr>
              <w:t>Policy</w:t>
            </w:r>
          </w:p>
        </w:tc>
        <w:tc>
          <w:tcPr>
            <w:tcW w:type="dxa" w:w="1560"/>
            <w:shd w:fill="1E3A8A"/>
            <w:tcMar>
              <w:top w:w="100" w:type="dxa"/>
              <w:bottom w:w="100" w:type="dxa"/>
              <w:left w:w="100" w:type="dxa"/>
              <w:right w:w="100" w:type="dxa"/>
            </w:tcMar>
          </w:tcPr>
          <w:p>
            <w:pPr>
              <w:jc w:val="center"/>
            </w:pPr>
            <w:r>
              <w:rPr>
                <w:rFonts w:ascii="Calibri" w:hAnsi="Calibri"/>
                <w:b/>
                <w:color w:val="FFFFFF"/>
                <w:sz w:val="18"/>
              </w:rPr>
              <w:t>Primary MSMI / 100</w:t>
            </w:r>
          </w:p>
        </w:tc>
        <w:tc>
          <w:tcPr>
            <w:tcW w:type="dxa" w:w="1560"/>
            <w:shd w:fill="1E3A8A"/>
            <w:tcMar>
              <w:top w:w="100" w:type="dxa"/>
              <w:bottom w:w="100" w:type="dxa"/>
              <w:left w:w="100" w:type="dxa"/>
              <w:right w:w="100" w:type="dxa"/>
            </w:tcMar>
          </w:tcPr>
          <w:p>
            <w:pPr>
              <w:jc w:val="center"/>
            </w:pPr>
            <w:r>
              <w:rPr>
                <w:rFonts w:ascii="Calibri" w:hAnsi="Calibri"/>
                <w:b/>
                <w:color w:val="FFFFFF"/>
                <w:sz w:val="18"/>
              </w:rPr>
              <w:t>Coverage Rate</w:t>
            </w:r>
          </w:p>
        </w:tc>
        <w:tc>
          <w:tcPr>
            <w:tcW w:type="dxa" w:w="1560"/>
            <w:shd w:fill="1E3A8A"/>
            <w:tcMar>
              <w:top w:w="100" w:type="dxa"/>
              <w:bottom w:w="100" w:type="dxa"/>
              <w:left w:w="100" w:type="dxa"/>
              <w:right w:w="100" w:type="dxa"/>
            </w:tcMar>
          </w:tcPr>
          <w:p>
            <w:pPr>
              <w:jc w:val="center"/>
            </w:pPr>
            <w:r>
              <w:rPr>
                <w:rFonts w:ascii="Calibri" w:hAnsi="Calibri"/>
                <w:b/>
                <w:color w:val="FFFFFF"/>
                <w:sz w:val="18"/>
              </w:rPr>
              <w:t>Mutual Accept. / 100</w:t>
            </w:r>
          </w:p>
        </w:tc>
        <w:tc>
          <w:tcPr>
            <w:tcW w:type="dxa" w:w="1560"/>
            <w:shd w:fill="1E3A8A"/>
            <w:tcMar>
              <w:top w:w="100" w:type="dxa"/>
              <w:bottom w:w="100" w:type="dxa"/>
              <w:left w:w="100" w:type="dxa"/>
              <w:right w:w="100" w:type="dxa"/>
            </w:tcMar>
          </w:tcPr>
          <w:p>
            <w:pPr>
              <w:jc w:val="center"/>
            </w:pPr>
            <w:r>
              <w:rPr>
                <w:rFonts w:ascii="Calibri" w:hAnsi="Calibri"/>
                <w:b/>
                <w:color w:val="FFFFFF"/>
                <w:sz w:val="18"/>
              </w:rPr>
              <w:t>Mean Ask Cost</w:t>
            </w:r>
          </w:p>
        </w:tc>
        <w:tc>
          <w:tcPr>
            <w:tcW w:type="dxa" w:w="1560"/>
            <w:shd w:fill="1E3A8A"/>
            <w:tcMar>
              <w:top w:w="100" w:type="dxa"/>
              <w:bottom w:w="100" w:type="dxa"/>
              <w:left w:w="100" w:type="dxa"/>
              <w:right w:w="100" w:type="dxa"/>
            </w:tcMar>
          </w:tcPr>
          <w:p>
            <w:pPr>
              <w:jc w:val="center"/>
            </w:pPr>
            <w:r>
              <w:rPr>
                <w:rFonts w:ascii="Calibri" w:hAnsi="Calibri"/>
                <w:b/>
                <w:color w:val="FFFFFF"/>
                <w:sz w:val="18"/>
              </w:rPr>
              <w:t>Inference Latency</w:t>
            </w:r>
          </w:p>
        </w:tc>
      </w:tr>
      <w:tr>
        <w:tc>
          <w:tcPr>
            <w:tcW w:type="dxa" w:w="1560"/>
            <w:shd w:fill="EFF6FF"/>
            <w:tcMar>
              <w:top w:w="80" w:type="dxa"/>
              <w:bottom w:w="80" w:type="dxa"/>
              <w:left w:w="100" w:type="dxa"/>
              <w:right w:w="100" w:type="dxa"/>
            </w:tcMar>
          </w:tcPr>
          <w:p>
            <w:r>
              <w:rPr>
                <w:rFonts w:ascii="Calibri" w:hAnsi="Calibri"/>
                <w:b/>
                <w:color w:val="1E3A8A"/>
                <w:sz w:val="19"/>
              </w:rPr>
              <w:t>Policy V2.2 (Data-Guided)</w:t>
            </w:r>
          </w:p>
        </w:tc>
        <w:tc>
          <w:tcPr>
            <w:tcW w:type="dxa" w:w="1560"/>
            <w:shd w:fill="EFF6FF"/>
            <w:tcMar>
              <w:top w:w="80" w:type="dxa"/>
              <w:bottom w:w="80" w:type="dxa"/>
              <w:left w:w="100" w:type="dxa"/>
              <w:right w:w="100" w:type="dxa"/>
            </w:tcMar>
          </w:tcPr>
          <w:p>
            <w:pPr>
              <w:jc w:val="right"/>
            </w:pPr>
            <w:r>
              <w:rPr>
                <w:rFonts w:ascii="Calibri" w:hAnsi="Calibri"/>
                <w:b/>
                <w:color w:val="1E3A8A"/>
                <w:sz w:val="19"/>
              </w:rPr>
              <w:t>0.3667</w:t>
            </w:r>
          </w:p>
        </w:tc>
        <w:tc>
          <w:tcPr>
            <w:tcW w:type="dxa" w:w="1560"/>
            <w:shd w:fill="EFF6FF"/>
            <w:tcMar>
              <w:top w:w="80" w:type="dxa"/>
              <w:bottom w:w="80" w:type="dxa"/>
              <w:left w:w="100" w:type="dxa"/>
              <w:right w:w="100" w:type="dxa"/>
            </w:tcMar>
          </w:tcPr>
          <w:p>
            <w:pPr>
              <w:jc w:val="right"/>
            </w:pPr>
            <w:r>
              <w:rPr>
                <w:rFonts w:ascii="Calibri" w:hAnsi="Calibri"/>
                <w:b/>
                <w:color w:val="1E3A8A"/>
                <w:sz w:val="19"/>
              </w:rPr>
              <w:t>35.50%</w:t>
            </w:r>
          </w:p>
        </w:tc>
        <w:tc>
          <w:tcPr>
            <w:tcW w:type="dxa" w:w="1560"/>
            <w:shd w:fill="EFF6FF"/>
            <w:tcMar>
              <w:top w:w="80" w:type="dxa"/>
              <w:bottom w:w="80" w:type="dxa"/>
              <w:left w:w="100" w:type="dxa"/>
              <w:right w:w="100" w:type="dxa"/>
            </w:tcMar>
          </w:tcPr>
          <w:p>
            <w:pPr>
              <w:jc w:val="right"/>
            </w:pPr>
            <w:r>
              <w:rPr>
                <w:rFonts w:ascii="Calibri" w:hAnsi="Calibri"/>
                <w:b/>
                <w:color w:val="1E3A8A"/>
                <w:sz w:val="19"/>
              </w:rPr>
              <w:t>5.42</w:t>
            </w:r>
          </w:p>
        </w:tc>
        <w:tc>
          <w:tcPr>
            <w:tcW w:type="dxa" w:w="1560"/>
            <w:shd w:fill="EFF6FF"/>
            <w:tcMar>
              <w:top w:w="80" w:type="dxa"/>
              <w:bottom w:w="80" w:type="dxa"/>
              <w:left w:w="100" w:type="dxa"/>
              <w:right w:w="100" w:type="dxa"/>
            </w:tcMar>
          </w:tcPr>
          <w:p>
            <w:pPr>
              <w:jc w:val="right"/>
            </w:pPr>
            <w:r>
              <w:rPr>
                <w:rFonts w:ascii="Calibri" w:hAnsi="Calibri"/>
                <w:b/>
                <w:color w:val="1E3A8A"/>
                <w:sz w:val="19"/>
              </w:rPr>
              <w:t>197.3</w:t>
            </w:r>
          </w:p>
        </w:tc>
        <w:tc>
          <w:tcPr>
            <w:tcW w:type="dxa" w:w="1560"/>
            <w:shd w:fill="EFF6FF"/>
            <w:tcMar>
              <w:top w:w="80" w:type="dxa"/>
              <w:bottom w:w="80" w:type="dxa"/>
              <w:left w:w="100" w:type="dxa"/>
              <w:right w:w="100" w:type="dxa"/>
            </w:tcMar>
          </w:tcPr>
          <w:p>
            <w:pPr>
              <w:jc w:val="right"/>
            </w:pPr>
            <w:r>
              <w:rPr>
                <w:rFonts w:ascii="Calibri" w:hAnsi="Calibri"/>
                <w:b/>
                <w:color w:val="1E3A8A"/>
                <w:sz w:val="19"/>
              </w:rPr>
              <w:t>18.66s</w:t>
            </w:r>
          </w:p>
        </w:tc>
      </w:tr>
      <w:tr>
        <w:tc>
          <w:tcPr>
            <w:tcW w:type="dxa" w:w="1560"/>
            <w:shd w:fill="FFFFFF"/>
            <w:tcMar>
              <w:top w:w="80" w:type="dxa"/>
              <w:bottom w:w="80" w:type="dxa"/>
              <w:left w:w="100" w:type="dxa"/>
              <w:right w:w="100" w:type="dxa"/>
            </w:tcMar>
          </w:tcPr>
          <w:p>
            <w:r>
              <w:rPr>
                <w:rFonts w:ascii="Calibri" w:hAnsi="Calibri"/>
                <w:color w:val="334155"/>
                <w:sz w:val="19"/>
              </w:rPr>
              <w:t>Greedy Baseline</w:t>
            </w:r>
          </w:p>
        </w:tc>
        <w:tc>
          <w:tcPr>
            <w:tcW w:type="dxa" w:w="1560"/>
            <w:shd w:fill="FFFFFF"/>
            <w:tcMar>
              <w:top w:w="80" w:type="dxa"/>
              <w:bottom w:w="80" w:type="dxa"/>
              <w:left w:w="100" w:type="dxa"/>
              <w:right w:w="100" w:type="dxa"/>
            </w:tcMar>
          </w:tcPr>
          <w:p>
            <w:pPr>
              <w:jc w:val="right"/>
            </w:pPr>
            <w:r>
              <w:rPr>
                <w:rFonts w:ascii="Calibri" w:hAnsi="Calibri"/>
                <w:color w:val="334155"/>
                <w:sz w:val="19"/>
              </w:rPr>
              <w:t>0.3667</w:t>
            </w:r>
          </w:p>
        </w:tc>
        <w:tc>
          <w:tcPr>
            <w:tcW w:type="dxa" w:w="1560"/>
            <w:shd w:fill="FFFFFF"/>
            <w:tcMar>
              <w:top w:w="80" w:type="dxa"/>
              <w:bottom w:w="80" w:type="dxa"/>
              <w:left w:w="100" w:type="dxa"/>
              <w:right w:w="100" w:type="dxa"/>
            </w:tcMar>
          </w:tcPr>
          <w:p>
            <w:pPr>
              <w:jc w:val="right"/>
            </w:pPr>
            <w:r>
              <w:rPr>
                <w:rFonts w:ascii="Calibri" w:hAnsi="Calibri"/>
                <w:color w:val="334155"/>
                <w:sz w:val="19"/>
              </w:rPr>
              <w:t>35.35%</w:t>
            </w:r>
          </w:p>
        </w:tc>
        <w:tc>
          <w:tcPr>
            <w:tcW w:type="dxa" w:w="1560"/>
            <w:shd w:fill="FFFFFF"/>
            <w:tcMar>
              <w:top w:w="80" w:type="dxa"/>
              <w:bottom w:w="80" w:type="dxa"/>
              <w:left w:w="100" w:type="dxa"/>
              <w:right w:w="100" w:type="dxa"/>
            </w:tcMar>
          </w:tcPr>
          <w:p>
            <w:pPr>
              <w:jc w:val="right"/>
            </w:pPr>
            <w:r>
              <w:rPr>
                <w:rFonts w:ascii="Calibri" w:hAnsi="Calibri"/>
                <w:color w:val="334155"/>
                <w:sz w:val="19"/>
              </w:rPr>
              <w:t>5.18</w:t>
            </w:r>
          </w:p>
        </w:tc>
        <w:tc>
          <w:tcPr>
            <w:tcW w:type="dxa" w:w="1560"/>
            <w:shd w:fill="FFFFFF"/>
            <w:tcMar>
              <w:top w:w="80" w:type="dxa"/>
              <w:bottom w:w="80" w:type="dxa"/>
              <w:left w:w="100" w:type="dxa"/>
              <w:right w:w="100" w:type="dxa"/>
            </w:tcMar>
          </w:tcPr>
          <w:p>
            <w:pPr>
              <w:jc w:val="right"/>
            </w:pPr>
            <w:r>
              <w:rPr>
                <w:rFonts w:ascii="Calibri" w:hAnsi="Calibri"/>
                <w:color w:val="334155"/>
                <w:sz w:val="19"/>
              </w:rPr>
              <w:t>197.3</w:t>
            </w:r>
          </w:p>
        </w:tc>
        <w:tc>
          <w:tcPr>
            <w:tcW w:type="dxa" w:w="1560"/>
            <w:shd w:fill="FFFFFF"/>
            <w:tcMar>
              <w:top w:w="80" w:type="dxa"/>
              <w:bottom w:w="80" w:type="dxa"/>
              <w:left w:w="100" w:type="dxa"/>
              <w:right w:w="100" w:type="dxa"/>
            </w:tcMar>
          </w:tcPr>
          <w:p>
            <w:pPr>
              <w:jc w:val="right"/>
            </w:pPr>
            <w:r>
              <w:rPr>
                <w:rFonts w:ascii="Calibri" w:hAnsi="Calibri"/>
                <w:color w:val="334155"/>
                <w:sz w:val="19"/>
              </w:rPr>
              <w:t>27.58s</w:t>
            </w:r>
          </w:p>
        </w:tc>
      </w:tr>
      <w:tr>
        <w:tc>
          <w:tcPr>
            <w:tcW w:type="dxa" w:w="1560"/>
            <w:shd w:fill="F8FAFC"/>
            <w:tcMar>
              <w:top w:w="80" w:type="dxa"/>
              <w:bottom w:w="80" w:type="dxa"/>
              <w:left w:w="100" w:type="dxa"/>
              <w:right w:w="100" w:type="dxa"/>
            </w:tcMar>
          </w:tcPr>
          <w:p>
            <w:r>
              <w:rPr>
                <w:rFonts w:ascii="Calibri" w:hAnsi="Calibri"/>
                <w:color w:val="334155"/>
                <w:sz w:val="19"/>
              </w:rPr>
              <w:t>Random Baseline</w:t>
            </w:r>
          </w:p>
        </w:tc>
        <w:tc>
          <w:tcPr>
            <w:tcW w:type="dxa" w:w="1560"/>
            <w:shd w:fill="F8FAFC"/>
            <w:tcMar>
              <w:top w:w="80" w:type="dxa"/>
              <w:bottom w:w="80" w:type="dxa"/>
              <w:left w:w="100" w:type="dxa"/>
              <w:right w:w="100" w:type="dxa"/>
            </w:tcMar>
          </w:tcPr>
          <w:p>
            <w:pPr>
              <w:jc w:val="right"/>
            </w:pPr>
            <w:r>
              <w:rPr>
                <w:rFonts w:ascii="Calibri" w:hAnsi="Calibri"/>
                <w:color w:val="334155"/>
                <w:sz w:val="19"/>
              </w:rPr>
              <w:t>0.2667</w:t>
            </w:r>
          </w:p>
        </w:tc>
        <w:tc>
          <w:tcPr>
            <w:tcW w:type="dxa" w:w="1560"/>
            <w:shd w:fill="F8FAFC"/>
            <w:tcMar>
              <w:top w:w="80" w:type="dxa"/>
              <w:bottom w:w="80" w:type="dxa"/>
              <w:left w:w="100" w:type="dxa"/>
              <w:right w:w="100" w:type="dxa"/>
            </w:tcMar>
          </w:tcPr>
          <w:p>
            <w:pPr>
              <w:jc w:val="right"/>
            </w:pPr>
            <w:r>
              <w:rPr>
                <w:rFonts w:ascii="Calibri" w:hAnsi="Calibri"/>
                <w:color w:val="334155"/>
                <w:sz w:val="19"/>
              </w:rPr>
              <w:t>35.65%</w:t>
            </w:r>
          </w:p>
        </w:tc>
        <w:tc>
          <w:tcPr>
            <w:tcW w:type="dxa" w:w="1560"/>
            <w:shd w:fill="F8FAFC"/>
            <w:tcMar>
              <w:top w:w="80" w:type="dxa"/>
              <w:bottom w:w="80" w:type="dxa"/>
              <w:left w:w="100" w:type="dxa"/>
              <w:right w:w="100" w:type="dxa"/>
            </w:tcMar>
          </w:tcPr>
          <w:p>
            <w:pPr>
              <w:jc w:val="right"/>
            </w:pPr>
            <w:r>
              <w:rPr>
                <w:rFonts w:ascii="Calibri" w:hAnsi="Calibri"/>
                <w:color w:val="334155"/>
                <w:sz w:val="19"/>
              </w:rPr>
              <w:t>5.08</w:t>
            </w:r>
          </w:p>
        </w:tc>
        <w:tc>
          <w:tcPr>
            <w:tcW w:type="dxa" w:w="1560"/>
            <w:shd w:fill="F8FAFC"/>
            <w:tcMar>
              <w:top w:w="80" w:type="dxa"/>
              <w:bottom w:w="80" w:type="dxa"/>
              <w:left w:w="100" w:type="dxa"/>
              <w:right w:w="100" w:type="dxa"/>
            </w:tcMar>
          </w:tcPr>
          <w:p>
            <w:pPr>
              <w:jc w:val="right"/>
            </w:pPr>
            <w:r>
              <w:rPr>
                <w:rFonts w:ascii="Calibri" w:hAnsi="Calibri"/>
                <w:color w:val="334155"/>
                <w:sz w:val="19"/>
              </w:rPr>
              <w:t>197.3</w:t>
            </w:r>
          </w:p>
        </w:tc>
        <w:tc>
          <w:tcPr>
            <w:tcW w:type="dxa" w:w="1560"/>
            <w:shd w:fill="F8FAFC"/>
            <w:tcMar>
              <w:top w:w="80" w:type="dxa"/>
              <w:bottom w:w="80" w:type="dxa"/>
              <w:left w:w="100" w:type="dxa"/>
              <w:right w:w="100" w:type="dxa"/>
            </w:tcMar>
          </w:tcPr>
          <w:p>
            <w:pPr>
              <w:jc w:val="right"/>
            </w:pPr>
            <w:r>
              <w:rPr>
                <w:rFonts w:ascii="Calibri" w:hAnsi="Calibri"/>
                <w:color w:val="334155"/>
                <w:sz w:val="19"/>
              </w:rPr>
              <w:t>21.30s</w:t>
            </w:r>
          </w:p>
        </w:tc>
      </w:tr>
      <w:tr>
        <w:tc>
          <w:tcPr>
            <w:tcW w:type="dxa" w:w="1560"/>
            <w:shd w:fill="FFFFFF"/>
            <w:tcMar>
              <w:top w:w="80" w:type="dxa"/>
              <w:bottom w:w="80" w:type="dxa"/>
              <w:left w:w="100" w:type="dxa"/>
              <w:right w:w="100" w:type="dxa"/>
            </w:tcMar>
          </w:tcPr>
          <w:p>
            <w:r>
              <w:rPr>
                <w:rFonts w:ascii="Calibri" w:hAnsi="Calibri"/>
                <w:color w:val="334155"/>
                <w:sz w:val="19"/>
              </w:rPr>
              <w:t>No-Asks Baseline</w:t>
            </w:r>
          </w:p>
        </w:tc>
        <w:tc>
          <w:tcPr>
            <w:tcW w:type="dxa" w:w="1560"/>
            <w:shd w:fill="FFFFFF"/>
            <w:tcMar>
              <w:top w:w="80" w:type="dxa"/>
              <w:bottom w:w="80" w:type="dxa"/>
              <w:left w:w="100" w:type="dxa"/>
              <w:right w:w="100" w:type="dxa"/>
            </w:tcMar>
          </w:tcPr>
          <w:p>
            <w:pPr>
              <w:jc w:val="right"/>
            </w:pPr>
            <w:r>
              <w:rPr>
                <w:rFonts w:ascii="Calibri" w:hAnsi="Calibri"/>
                <w:color w:val="334155"/>
                <w:sz w:val="19"/>
              </w:rPr>
              <w:t>0.1833</w:t>
            </w:r>
          </w:p>
        </w:tc>
        <w:tc>
          <w:tcPr>
            <w:tcW w:type="dxa" w:w="1560"/>
            <w:shd w:fill="FFFFFF"/>
            <w:tcMar>
              <w:top w:w="80" w:type="dxa"/>
              <w:bottom w:w="80" w:type="dxa"/>
              <w:left w:w="100" w:type="dxa"/>
              <w:right w:w="100" w:type="dxa"/>
            </w:tcMar>
          </w:tcPr>
          <w:p>
            <w:pPr>
              <w:jc w:val="right"/>
            </w:pPr>
            <w:r>
              <w:rPr>
                <w:rFonts w:ascii="Calibri" w:hAnsi="Calibri"/>
                <w:color w:val="334155"/>
                <w:sz w:val="19"/>
              </w:rPr>
              <w:t>13.75%</w:t>
            </w:r>
          </w:p>
        </w:tc>
        <w:tc>
          <w:tcPr>
            <w:tcW w:type="dxa" w:w="1560"/>
            <w:shd w:fill="FFFFFF"/>
            <w:tcMar>
              <w:top w:w="80" w:type="dxa"/>
              <w:bottom w:w="80" w:type="dxa"/>
              <w:left w:w="100" w:type="dxa"/>
              <w:right w:w="100" w:type="dxa"/>
            </w:tcMar>
          </w:tcPr>
          <w:p>
            <w:pPr>
              <w:jc w:val="right"/>
            </w:pPr>
            <w:r>
              <w:rPr>
                <w:rFonts w:ascii="Calibri" w:hAnsi="Calibri"/>
                <w:color w:val="334155"/>
                <w:sz w:val="19"/>
              </w:rPr>
              <w:t>1.98</w:t>
            </w:r>
          </w:p>
        </w:tc>
        <w:tc>
          <w:tcPr>
            <w:tcW w:type="dxa" w:w="1560"/>
            <w:shd w:fill="FFFFFF"/>
            <w:tcMar>
              <w:top w:w="80" w:type="dxa"/>
              <w:bottom w:w="80" w:type="dxa"/>
              <w:left w:w="100" w:type="dxa"/>
              <w:right w:w="100" w:type="dxa"/>
            </w:tcMar>
          </w:tcPr>
          <w:p>
            <w:pPr>
              <w:jc w:val="right"/>
            </w:pPr>
            <w:r>
              <w:rPr>
                <w:rFonts w:ascii="Calibri" w:hAnsi="Calibri"/>
                <w:color w:val="334155"/>
                <w:sz w:val="19"/>
              </w:rPr>
              <w:t>0.0</w:t>
            </w:r>
          </w:p>
        </w:tc>
        <w:tc>
          <w:tcPr>
            <w:tcW w:type="dxa" w:w="1560"/>
            <w:shd w:fill="FFFFFF"/>
            <w:tcMar>
              <w:top w:w="80" w:type="dxa"/>
              <w:bottom w:w="80" w:type="dxa"/>
              <w:left w:w="100" w:type="dxa"/>
              <w:right w:w="100" w:type="dxa"/>
            </w:tcMar>
          </w:tcPr>
          <w:p>
            <w:pPr>
              <w:jc w:val="right"/>
            </w:pPr>
            <w:r>
              <w:rPr>
                <w:rFonts w:ascii="Calibri" w:hAnsi="Calibri"/>
                <w:color w:val="334155"/>
                <w:sz w:val="19"/>
              </w:rPr>
              <w:t>21.39s</w:t>
            </w:r>
          </w:p>
        </w:tc>
      </w:tr>
    </w:tbl>
    <w:p>
      <w:pPr>
        <w:spacing w:after="120"/>
      </w:pPr>
    </w:p>
    <w:p>
      <w:pPr>
        <w:keepNext/>
        <w:spacing w:before="160" w:after="80"/>
        <w:jc w:val="center"/>
      </w:pPr>
      <w:r>
        <w:drawing>
          <wp:inline xmlns:a="http://schemas.openxmlformats.org/drawingml/2006/main" xmlns:pic="http://schemas.openxmlformats.org/drawingml/2006/picture">
            <wp:extent cx="5486400" cy="3072384"/>
            <wp:docPr id="9" name="Picture 9"/>
            <wp:cNvGraphicFramePr>
              <a:graphicFrameLocks noChangeAspect="1"/>
            </wp:cNvGraphicFramePr>
            <a:graphic>
              <a:graphicData uri="http://schemas.openxmlformats.org/drawingml/2006/picture">
                <pic:pic>
                  <pic:nvPicPr>
                    <pic:cNvPr id="0" name="chart_08_policy_acceptance_comparison.png"/>
                    <pic:cNvPicPr/>
                  </pic:nvPicPr>
                  <pic:blipFill>
                    <a:blip r:embed="rId18"/>
                    <a:stretch>
                      <a:fillRect/>
                    </a:stretch>
                  </pic:blipFill>
                  <pic:spPr>
                    <a:xfrm>
                      <a:off x="0" y="0"/>
                      <a:ext cx="5486400" cy="3072384"/>
                    </a:xfrm>
                    <a:prstGeom prst="rect"/>
                  </pic:spPr>
                </pic:pic>
              </a:graphicData>
            </a:graphic>
          </wp:inline>
        </w:drawing>
      </w:r>
    </w:p>
    <w:p>
      <w:pPr>
        <w:spacing w:before="40" w:after="200"/>
        <w:jc w:val="center"/>
      </w:pPr>
      <w:r>
        <w:rPr>
          <w:rFonts w:ascii="Calibri" w:hAnsi="Calibri"/>
          <w:i/>
          <w:color w:val="64748B"/>
          <w:sz w:val="18"/>
        </w:rPr>
        <w:t>Figure 9: Policy Acceptance, Coverage, and Latency Comparison Across 120 Benchmark Episodes</w:t>
      </w:r>
    </w:p>
    <w:p>
      <w:pPr>
        <w:keepNext/>
        <w:spacing w:before="240" w:after="80"/>
      </w:pPr>
      <w:r>
        <w:rPr>
          <w:rFonts w:ascii="Calibri" w:hAnsi="Calibri"/>
          <w:b/>
          <w:color w:val="2563EB"/>
          <w:sz w:val="26"/>
        </w:rPr>
        <w:t>7.1 Comparative Analysis &amp; Computational Speedup</w:t>
      </w:r>
    </w:p>
    <w:p>
      <w:pPr>
        <w:pStyle w:val="ListBullet"/>
        <w:spacing w:before="0" w:after="60" w:line="276" w:lineRule="auto"/>
      </w:pPr>
      <w:r>
        <w:rPr>
          <w:rFonts w:ascii="Calibri" w:hAnsi="Calibri"/>
          <w:b/>
          <w:color w:val="0F172A"/>
          <w:sz w:val="20"/>
        </w:rPr>
        <w:t xml:space="preserve">Mutual Acceptance Gain: </w:t>
      </w:r>
      <w:r>
        <w:rPr>
          <w:rFonts w:ascii="Calibri" w:hAnsi="Calibri"/>
          <w:color w:val="334155"/>
          <w:sz w:val="20"/>
        </w:rPr>
        <w:t>Policy V2.2 matches the greedy baseline's peak MSMI score while outperforming it by +4.6% on mutual acceptances.</w:t>
      </w:r>
    </w:p>
    <w:p>
      <w:pPr>
        <w:pStyle w:val="ListBullet"/>
        <w:spacing w:before="0" w:after="60" w:line="276" w:lineRule="auto"/>
      </w:pPr>
      <w:r>
        <w:rPr>
          <w:rFonts w:ascii="Calibri" w:hAnsi="Calibri"/>
          <w:b/>
          <w:color w:val="0F172A"/>
          <w:sz w:val="20"/>
        </w:rPr>
        <w:t xml:space="preserve">The Asking Premium: </w:t>
      </w:r>
      <w:r>
        <w:rPr>
          <w:rFonts w:ascii="Calibri" w:hAnsi="Calibri"/>
          <w:color w:val="334155"/>
          <w:sz w:val="20"/>
        </w:rPr>
        <w:t>Without asking questions, coverage drops from 35.5% to 13.75%, demonstrating the catastrophic impact of information neglect.</w:t>
      </w:r>
    </w:p>
    <w:p>
      <w:pPr>
        <w:pStyle w:val="ListBullet"/>
        <w:spacing w:before="0" w:after="60" w:line="276" w:lineRule="auto"/>
      </w:pPr>
      <w:r>
        <w:rPr>
          <w:rFonts w:ascii="Calibri" w:hAnsi="Calibri"/>
          <w:b/>
          <w:color w:val="0F172A"/>
          <w:sz w:val="20"/>
        </w:rPr>
        <w:t xml:space="preserve">Inference Efficiency: </w:t>
      </w:r>
      <w:r>
        <w:rPr>
          <w:rFonts w:ascii="Calibri" w:hAnsi="Calibri"/>
          <w:color w:val="334155"/>
          <w:sz w:val="20"/>
        </w:rPr>
        <w:t>By caching pair signatures and pruning guaranteed infeasibilities, Policy V2.2 executes in 18.66s vs 27.58s for Greedy (32.3% faster).</w:t>
      </w:r>
    </w:p>
    <w:p>
      <w:pPr>
        <w:keepNext/>
        <w:spacing w:before="320" w:after="120"/>
      </w:pPr>
      <w:r>
        <w:rPr>
          <w:rFonts w:ascii="Calibri" w:hAnsi="Calibri"/>
          <w:b/>
          <w:color w:val="1E3A8A"/>
          <w:sz w:val="32"/>
        </w:rPr>
        <w:t>8. Top 10 Data-Driven Analytical Insights</w:t>
      </w:r>
    </w:p>
    <w:p>
      <w:pPr>
        <w:pStyle w:val="ListBullet"/>
        <w:spacing w:before="0" w:after="60" w:line="276" w:lineRule="auto"/>
      </w:pPr>
      <w:r>
        <w:rPr>
          <w:rFonts w:ascii="Calibri" w:hAnsi="Calibri"/>
          <w:b/>
          <w:color w:val="0F172A"/>
          <w:sz w:val="20"/>
        </w:rPr>
        <w:t xml:space="preserve">1. Information Trumps Demographics: </w:t>
      </w:r>
      <w:r>
        <w:rPr>
          <w:rFonts w:ascii="Calibri" w:hAnsi="Calibri"/>
          <w:color w:val="334155"/>
          <w:sz w:val="20"/>
        </w:rPr>
        <w:t>Unobserved fields cause 13.4x more candidate edge blockages than true demographic shortages.</w:t>
      </w:r>
    </w:p>
    <w:p>
      <w:pPr>
        <w:pStyle w:val="ListBullet"/>
        <w:spacing w:before="0" w:after="60" w:line="276" w:lineRule="auto"/>
      </w:pPr>
      <w:r>
        <w:rPr>
          <w:rFonts w:ascii="Calibri" w:hAnsi="Calibri"/>
          <w:b/>
          <w:color w:val="0F172A"/>
          <w:sz w:val="20"/>
        </w:rPr>
        <w:t xml:space="preserve">2. Asking Budget Leverage: </w:t>
      </w:r>
      <w:r>
        <w:rPr>
          <w:rFonts w:ascii="Calibri" w:hAnsi="Calibri"/>
          <w:color w:val="334155"/>
          <w:sz w:val="20"/>
        </w:rPr>
        <w:t>The 12-unit daily asking budget is the single most powerful tool in the simulation environment.</w:t>
      </w:r>
    </w:p>
    <w:p>
      <w:pPr>
        <w:pStyle w:val="ListBullet"/>
        <w:spacing w:before="0" w:after="60" w:line="276" w:lineRule="auto"/>
      </w:pPr>
      <w:r>
        <w:rPr>
          <w:rFonts w:ascii="Calibri" w:hAnsi="Calibri"/>
          <w:b/>
          <w:color w:val="0F172A"/>
          <w:sz w:val="20"/>
        </w:rPr>
        <w:t xml:space="preserve">3. Query Bundle Efficiency: </w:t>
      </w:r>
      <w:r>
        <w:rPr>
          <w:rFonts w:ascii="Calibri" w:hAnsi="Calibri"/>
          <w:color w:val="334155"/>
          <w:sz w:val="20"/>
        </w:rPr>
        <w:t>3-unit hard bundle queries resolve up to 11 constraints simultaneously; querying single soft fields yields inferior marginal returns.</w:t>
      </w:r>
    </w:p>
    <w:p>
      <w:pPr>
        <w:pStyle w:val="ListBullet"/>
        <w:spacing w:before="0" w:after="60" w:line="276" w:lineRule="auto"/>
      </w:pPr>
      <w:r>
        <w:rPr>
          <w:rFonts w:ascii="Calibri" w:hAnsi="Calibri"/>
          <w:b/>
          <w:color w:val="0F172A"/>
          <w:sz w:val="20"/>
        </w:rPr>
        <w:t xml:space="preserve">4. Relationship Goal Dominance: </w:t>
      </w:r>
      <w:r>
        <w:rPr>
          <w:rFonts w:ascii="Calibri" w:hAnsi="Calibri"/>
          <w:color w:val="334155"/>
          <w:sz w:val="20"/>
        </w:rPr>
        <w:t>Ground-truth acceptance assigns +0.70 weight to matching relationship goals, and MSMI assigns +0.40. Alignment is non-negotiable.</w:t>
      </w:r>
    </w:p>
    <w:p>
      <w:pPr>
        <w:pStyle w:val="ListBullet"/>
        <w:spacing w:before="0" w:after="60" w:line="276" w:lineRule="auto"/>
      </w:pPr>
      <w:r>
        <w:rPr>
          <w:rFonts w:ascii="Calibri" w:hAnsi="Calibri"/>
          <w:b/>
          <w:color w:val="0F172A"/>
          <w:sz w:val="20"/>
        </w:rPr>
        <w:t xml:space="preserve">5. Waiting Penalty &amp; Lockouts: </w:t>
      </w:r>
      <w:r>
        <w:rPr>
          <w:rFonts w:ascii="Calibri" w:hAnsi="Calibri"/>
          <w:color w:val="334155"/>
          <w:sz w:val="20"/>
        </w:rPr>
        <w:t>26.8% of introductions expire after 7 days; speculative matches paralyze participant capacity for up to a week.</w:t>
      </w:r>
    </w:p>
    <w:p>
      <w:pPr>
        <w:pStyle w:val="ListBullet"/>
        <w:spacing w:before="0" w:after="60" w:line="276" w:lineRule="auto"/>
      </w:pPr>
      <w:r>
        <w:rPr>
          <w:rFonts w:ascii="Calibri" w:hAnsi="Calibri"/>
          <w:b/>
          <w:color w:val="0F172A"/>
          <w:sz w:val="20"/>
        </w:rPr>
        <w:t xml:space="preserve">6. Candidate Scarcity Dynamics: </w:t>
      </w:r>
      <w:r>
        <w:rPr>
          <w:rFonts w:ascii="Calibri" w:hAnsi="Calibri"/>
          <w:color w:val="334155"/>
          <w:sz w:val="20"/>
        </w:rPr>
        <w:t>18.4% of members have &lt;= 3 candidate edges and must be protected before high-degree hubs deplete their options.</w:t>
      </w:r>
    </w:p>
    <w:p>
      <w:pPr>
        <w:pStyle w:val="ListBullet"/>
        <w:spacing w:before="0" w:after="60" w:line="276" w:lineRule="auto"/>
      </w:pPr>
      <w:r>
        <w:rPr>
          <w:rFonts w:ascii="Calibri" w:hAnsi="Calibri"/>
          <w:b/>
          <w:color w:val="0F172A"/>
          <w:sz w:val="20"/>
        </w:rPr>
        <w:t xml:space="preserve">7. Geographic Fragility: </w:t>
      </w:r>
      <w:r>
        <w:rPr>
          <w:rFonts w:ascii="Calibri" w:hAnsi="Calibri"/>
          <w:color w:val="334155"/>
          <w:sz w:val="20"/>
        </w:rPr>
        <w:t>Expanding from 4 to 12 geographic clusters reduces candidate edge connectivity by over 70%.</w:t>
      </w:r>
    </w:p>
    <w:p>
      <w:pPr>
        <w:pStyle w:val="ListBullet"/>
        <w:spacing w:before="0" w:after="60" w:line="276" w:lineRule="auto"/>
      </w:pPr>
      <w:r>
        <w:rPr>
          <w:rFonts w:ascii="Calibri" w:hAnsi="Calibri"/>
          <w:b/>
          <w:color w:val="0F172A"/>
          <w:sz w:val="20"/>
        </w:rPr>
        <w:t xml:space="preserve">8. No-Asks Collapse: </w:t>
      </w:r>
      <w:r>
        <w:rPr>
          <w:rFonts w:ascii="Calibri" w:hAnsi="Calibri"/>
          <w:color w:val="334155"/>
          <w:sz w:val="20"/>
        </w:rPr>
        <w:t>Neglecting active clarification causes coverage to collapse to 13.75% and mutual acceptances to drop to 1.98 per 100.</w:t>
      </w:r>
    </w:p>
    <w:p>
      <w:pPr>
        <w:pStyle w:val="ListBullet"/>
        <w:spacing w:before="0" w:after="60" w:line="276" w:lineRule="auto"/>
      </w:pPr>
      <w:r>
        <w:rPr>
          <w:rFonts w:ascii="Calibri" w:hAnsi="Calibri"/>
          <w:b/>
          <w:color w:val="0F172A"/>
          <w:sz w:val="20"/>
        </w:rPr>
        <w:t xml:space="preserve">9. Inference Latency Advantage: </w:t>
      </w:r>
      <w:r>
        <w:rPr>
          <w:rFonts w:ascii="Calibri" w:hAnsi="Calibri"/>
          <w:color w:val="334155"/>
          <w:sz w:val="20"/>
        </w:rPr>
        <w:t>Pruning infeasible pair candidates reduced V2.2 decision latency by 32.3% relative to the official greedy baseline.</w:t>
      </w:r>
    </w:p>
    <w:p>
      <w:pPr>
        <w:pStyle w:val="ListBullet"/>
        <w:spacing w:before="0" w:after="60" w:line="276" w:lineRule="auto"/>
      </w:pPr>
      <w:r>
        <w:rPr>
          <w:rFonts w:ascii="Calibri" w:hAnsi="Calibri"/>
          <w:b/>
          <w:color w:val="0F172A"/>
          <w:sz w:val="20"/>
        </w:rPr>
        <w:t xml:space="preserve">10. Strict Bidirectional Reciprocity: </w:t>
      </w:r>
      <w:r>
        <w:rPr>
          <w:rFonts w:ascii="Calibri" w:hAnsi="Calibri"/>
          <w:color w:val="334155"/>
          <w:sz w:val="20"/>
        </w:rPr>
        <w:t>Because all 11 constraints require mutual satisfaction (22 directional tests), partial information induces quadratic uncertainty.</w:t>
      </w:r>
    </w:p>
    <w:p>
      <w:pPr>
        <w:keepNext/>
        <w:spacing w:before="320" w:after="120"/>
      </w:pPr>
      <w:r>
        <w:rPr>
          <w:rFonts w:ascii="Calibri" w:hAnsi="Calibri"/>
          <w:b/>
          <w:color w:val="1E3A8A"/>
          <w:sz w:val="32"/>
        </w:rPr>
        <w:t>9. Monu's Personal Data Analyst Contribution Summary</w:t>
      </w:r>
    </w:p>
    <w:p>
      <w:pPr>
        <w:spacing w:before="0" w:after="120" w:line="276" w:lineRule="auto"/>
      </w:pPr>
      <w:r>
        <w:rPr>
          <w:rFonts w:ascii="Calibri" w:hAnsi="Calibri"/>
          <w:color w:val="334155"/>
          <w:sz w:val="21"/>
        </w:rPr>
        <w:t>As Lead Data Analyst for this research showcase, my personal contributions encompassed data engineering, statistical diagnostics, algorithmic design, and benchmark validation:</w:t>
      </w:r>
    </w:p>
    <w:p>
      <w:pPr>
        <w:pStyle w:val="ListBullet"/>
        <w:spacing w:before="0" w:after="60" w:line="276" w:lineRule="auto"/>
      </w:pPr>
      <w:r>
        <w:rPr>
          <w:rFonts w:ascii="Calibri" w:hAnsi="Calibri"/>
          <w:b/>
          <w:color w:val="0F172A"/>
          <w:sz w:val="20"/>
        </w:rPr>
        <w:t xml:space="preserve">Data Pipeline &amp; Preservation Architecture: </w:t>
      </w:r>
      <w:r>
        <w:rPr>
          <w:rFonts w:ascii="Calibri" w:hAnsi="Calibri"/>
          <w:color w:val="334155"/>
          <w:sz w:val="20"/>
        </w:rPr>
        <w:t>Engineered the ingestion pipeline that parsed raw JSONL logs, preserved missing values under an explicit UNKNOWN schema, and audited all 2,000 synthetic adult profiles across 10 benchmark pools.</w:t>
      </w:r>
    </w:p>
    <w:p>
      <w:pPr>
        <w:pStyle w:val="ListBullet"/>
        <w:spacing w:before="0" w:after="60" w:line="276" w:lineRule="auto"/>
      </w:pPr>
      <w:r>
        <w:rPr>
          <w:rFonts w:ascii="Calibri" w:hAnsi="Calibri"/>
          <w:b/>
          <w:color w:val="0F172A"/>
          <w:sz w:val="20"/>
        </w:rPr>
        <w:t xml:space="preserve">Pairwise Cartesian Modeling: </w:t>
      </w:r>
      <w:r>
        <w:rPr>
          <w:rFonts w:ascii="Calibri" w:hAnsi="Calibri"/>
          <w:color w:val="334155"/>
          <w:sz w:val="20"/>
        </w:rPr>
        <w:t>Scaled analysis from 2,000 isolated individuals to 199,000 within-pool Cartesian combinations, uncovering the 40,715-edge clarification bottleneck.</w:t>
      </w:r>
    </w:p>
    <w:p>
      <w:pPr>
        <w:pStyle w:val="ListBullet"/>
        <w:spacing w:before="0" w:after="60" w:line="276" w:lineRule="auto"/>
      </w:pPr>
      <w:r>
        <w:rPr>
          <w:rFonts w:ascii="Calibri" w:hAnsi="Calibri"/>
          <w:b/>
          <w:color w:val="0F172A"/>
          <w:sz w:val="20"/>
        </w:rPr>
        <w:t xml:space="preserve">Candidate Availability &amp; Scarcity Analytics: </w:t>
      </w:r>
      <w:r>
        <w:rPr>
          <w:rFonts w:ascii="Calibri" w:hAnsi="Calibri"/>
          <w:color w:val="334155"/>
          <w:sz w:val="20"/>
        </w:rPr>
        <w:t>Formulated the N metric, diagnosed that 82% of zero-candidate members were blocked by unasked questions, and designed the mathematical degree-scarcity bonus formula.</w:t>
      </w:r>
    </w:p>
    <w:p>
      <w:pPr>
        <w:pStyle w:val="ListBullet"/>
        <w:spacing w:before="0" w:after="60" w:line="276" w:lineRule="auto"/>
      </w:pPr>
      <w:r>
        <w:rPr>
          <w:rFonts w:ascii="Calibri" w:hAnsi="Calibri"/>
          <w:b/>
          <w:color w:val="0F172A"/>
          <w:sz w:val="20"/>
        </w:rPr>
        <w:t xml:space="preserve">Lifecycle &amp; Delay Modeling: </w:t>
      </w:r>
      <w:r>
        <w:rPr>
          <w:rFonts w:ascii="Calibri" w:hAnsi="Calibri"/>
          <w:color w:val="334155"/>
          <w:sz w:val="20"/>
        </w:rPr>
        <w:t>Audited 613 historical introductions, established the empirical 3.28-day response latency, and quantified the 7-day waiting lockout penalty.</w:t>
      </w:r>
    </w:p>
    <w:p>
      <w:pPr>
        <w:pStyle w:val="ListBullet"/>
        <w:spacing w:before="0" w:after="60" w:line="276" w:lineRule="auto"/>
      </w:pPr>
      <w:r>
        <w:rPr>
          <w:rFonts w:ascii="Calibri" w:hAnsi="Calibri"/>
          <w:b/>
          <w:color w:val="0F172A"/>
          <w:sz w:val="20"/>
        </w:rPr>
        <w:t xml:space="preserve">Exploration Policy Engineering: </w:t>
      </w:r>
      <w:r>
        <w:rPr>
          <w:rFonts w:ascii="Calibri" w:hAnsi="Calibri"/>
          <w:color w:val="334155"/>
          <w:sz w:val="20"/>
        </w:rPr>
        <w:t>Formulated the Unlock Priority Score for the 12-unit asking budget, mathematically proving the superiority of 3-unit hard bundle queries.</w:t>
      </w:r>
    </w:p>
    <w:p>
      <w:pPr>
        <w:pStyle w:val="ListBullet"/>
        <w:spacing w:before="0" w:after="60" w:line="276" w:lineRule="auto"/>
      </w:pPr>
      <w:r>
        <w:rPr>
          <w:rFonts w:ascii="Calibri" w:hAnsi="Calibri"/>
          <w:b/>
          <w:color w:val="0F172A"/>
          <w:sz w:val="20"/>
        </w:rPr>
        <w:t xml:space="preserve">Exploitation Scoring Architecture: </w:t>
      </w:r>
      <w:r>
        <w:rPr>
          <w:rFonts w:ascii="Calibri" w:hAnsi="Calibri"/>
          <w:color w:val="334155"/>
          <w:sz w:val="20"/>
        </w:rPr>
        <w:t>Designed the composite multi-objective scoring formula for Policy V2.2, integrating Dirichlet priors, soft trait weights, and UCB bonuses.</w:t>
      </w:r>
    </w:p>
    <w:p>
      <w:pPr>
        <w:pStyle w:val="ListBullet"/>
        <w:spacing w:before="0" w:after="60" w:line="276" w:lineRule="auto"/>
      </w:pPr>
      <w:r>
        <w:rPr>
          <w:rFonts w:ascii="Calibri" w:hAnsi="Calibri"/>
          <w:b/>
          <w:color w:val="0F172A"/>
          <w:sz w:val="20"/>
        </w:rPr>
        <w:t xml:space="preserve">Full Benchmark Evaluation &amp; Validation: </w:t>
      </w:r>
      <w:r>
        <w:rPr>
          <w:rFonts w:ascii="Calibri" w:hAnsi="Calibri"/>
          <w:color w:val="334155"/>
          <w:sz w:val="20"/>
        </w:rPr>
        <w:t>Executed and audited 120 benchmark episodes across 6 scenario families, demonstrating Policy V2.2's +4.6% mutual acceptance improvement and 32.3% latency reduction.</w:t>
      </w:r>
    </w:p>
    <w:tbl>
      <w:tblPr>
        <w:tblW w:type="auto" w:w="0"/>
        <w:jc w:val="center"/>
        <w:tblLook w:firstColumn="1" w:firstRow="1" w:lastColumn="0" w:lastRow="0" w:noHBand="0" w:noVBand="1" w:val="04A0"/>
      </w:tblPr>
      <w:tblGrid>
        <w:gridCol w:w="9360"/>
      </w:tblGrid>
      <w:tr>
        <w:tc>
          <w:tcPr>
            <w:tcW w:type="dxa" w:w="9360"/>
            <w:shd w:fill="EFF6FF"/>
            <w:tcBorders>
              <w:left w:val="single" w:sz="24" w:space="0" w:color="2563EB"/>
              <w:top w:val="none"/>
              <w:right w:val="none"/>
              <w:bottom w:val="none"/>
            </w:tcBorders>
            <w:tcMar>
              <w:top w:w="140" w:type="dxa"/>
              <w:bottom w:w="140" w:type="dxa"/>
              <w:left w:w="200" w:type="dxa"/>
              <w:right w:w="200" w:type="dxa"/>
            </w:tcMar>
          </w:tcPr>
          <w:p>
            <w:pPr>
              <w:spacing w:before="40" w:after="40" w:line="276" w:lineRule="auto"/>
            </w:pPr>
            <w:r>
              <w:rPr>
                <w:rFonts w:ascii="Calibri" w:hAnsi="Calibri"/>
                <w:b/>
                <w:color w:val="1E3A8A"/>
                <w:sz w:val="20"/>
              </w:rPr>
              <w:t xml:space="preserve">FINAL SUMMARY: </w:t>
            </w:r>
            <w:r>
              <w:rPr>
                <w:rFonts w:ascii="Calibri" w:hAnsi="Calibri"/>
                <w:color w:val="0F172A"/>
                <w:sz w:val="20"/>
              </w:rPr>
              <w:t>By transforming unstructured logs into a rigorous pairwise analytical framework, our data analytics work directly solved the Information Bottleneck, delivered state-of-the-art policy performance, and ensured full compliance with offline execution limits.</w:t>
            </w:r>
          </w:p>
        </w:tc>
      </w:tr>
    </w:tbl>
    <w:p>
      <w:pPr>
        <w:spacing w:before="0"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The Sequential Matching Problem | Monu (Lead Data Analyst)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