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Entregáveis: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descritiva das variáveis: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separamos as variáveis categóricas das quantitativas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8275" cy="847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Verificamos a distribuição da variável target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3667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Tentamos uma transformação logarítmica para ver como ficava a distribuição do target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3686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as variáveis contém muitos valores negativos, a transformação logarítmica não foi viável, pois trazia valores infinitos e NaN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Verificando outliers e distribuição das variáveis descritivas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3686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correlação das variáveis: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variável foi plotado um gráfico de dispersão para buscar correlação com o target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(Completo com todos os gráficos no arquivo PDF)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do modelo: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1571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Acurácia do modelo: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