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A30E216">
      <w:pPr>
        <w:tabs>
          <w:tab w:val="left" w:pos="3103"/>
          <w:tab w:val="center" w:pos="4189"/>
        </w:tabs>
        <w:ind w:left="0" w:right="47" w:firstLine="0"/>
        <w:jc w:val="left"/>
        <w:rPr>
          <w:rFonts w:hint="eastAsia" w:eastAsia="宋体"/>
          <w:b/>
          <w:i/>
          <w:sz w:val="40"/>
          <w:szCs w:val="40"/>
          <w:lang w:eastAsia="zh-CN"/>
        </w:rPr>
      </w:pPr>
    </w:p>
    <w:p w14:paraId="1C463368">
      <w:pPr>
        <w:tabs>
          <w:tab w:val="left" w:pos="3103"/>
          <w:tab w:val="center" w:pos="4189"/>
        </w:tabs>
        <w:ind w:left="0" w:right="47" w:firstLine="0"/>
        <w:jc w:val="center"/>
        <w:rPr>
          <w:rFonts w:hint="eastAsia" w:eastAsia="宋体"/>
          <w:b/>
          <w:i/>
          <w:sz w:val="40"/>
          <w:szCs w:val="40"/>
          <w:lang w:eastAsia="zh-CN"/>
        </w:rPr>
      </w:pPr>
      <w:r>
        <w:rPr>
          <w:rFonts w:hint="eastAsia" w:eastAsia="宋体"/>
          <w:b/>
          <w:i/>
          <w:sz w:val="40"/>
          <w:szCs w:val="40"/>
          <w:lang w:eastAsia="zh-CN"/>
        </w:rPr>
        <w:t>Football Match Outcome Prediction: From Statistical Modelling to Probabilistic Forecasting and Betting Market Analysis</w:t>
      </w:r>
    </w:p>
    <w:p w14:paraId="705E6358">
      <w:pPr>
        <w:ind w:left="0" w:right="47" w:firstLine="0"/>
        <w:jc w:val="center"/>
        <w:rPr>
          <w:rFonts w:eastAsia="宋体"/>
          <w:b/>
          <w:sz w:val="32"/>
          <w:szCs w:val="32"/>
          <w:lang w:eastAsia="zh-CN"/>
        </w:rPr>
      </w:pPr>
      <w:r>
        <w:rPr>
          <w:rFonts w:hint="eastAsia" w:eastAsia="宋体"/>
          <w:b/>
          <w:sz w:val="32"/>
          <w:szCs w:val="32"/>
          <w:lang w:eastAsia="zh-CN"/>
        </w:rPr>
        <w:t>Literature Review</w:t>
      </w:r>
    </w:p>
    <w:p w14:paraId="701622BF">
      <w:pPr>
        <w:ind w:left="0" w:right="47" w:firstLine="0"/>
        <w:jc w:val="center"/>
        <w:rPr>
          <w:rFonts w:eastAsia="Times New Roman"/>
          <w:sz w:val="32"/>
          <w:szCs w:val="32"/>
        </w:rPr>
      </w:pPr>
    </w:p>
    <w:p w14:paraId="1C3FFC4A">
      <w:pPr>
        <w:ind w:left="0" w:right="47" w:firstLine="0"/>
        <w:jc w:val="center"/>
        <w:rPr>
          <w:rFonts w:eastAsia="Times New Roman"/>
          <w:sz w:val="32"/>
          <w:szCs w:val="32"/>
        </w:rPr>
      </w:pPr>
      <w:r>
        <w:rPr>
          <w:rFonts w:eastAsia="Times New Roman"/>
          <w:sz w:val="32"/>
          <w:szCs w:val="32"/>
        </w:rPr>
        <w:t>by</w:t>
      </w:r>
    </w:p>
    <w:p w14:paraId="5DBE62F2">
      <w:pPr>
        <w:ind w:left="0" w:right="47" w:firstLine="0"/>
        <w:jc w:val="center"/>
        <w:rPr>
          <w:rFonts w:hint="eastAsia" w:eastAsia="宋体"/>
          <w:i/>
          <w:sz w:val="32"/>
          <w:szCs w:val="32"/>
          <w:lang w:val="en-US" w:eastAsia="zh-CN"/>
        </w:rPr>
      </w:pPr>
      <w:r>
        <w:rPr>
          <w:rFonts w:hint="eastAsia" w:eastAsia="宋体"/>
          <w:i/>
          <w:sz w:val="32"/>
          <w:szCs w:val="32"/>
          <w:lang w:val="en-US" w:eastAsia="zh-CN"/>
        </w:rPr>
        <w:t>Zhang Junwei</w:t>
      </w:r>
    </w:p>
    <w:p w14:paraId="6F4966E3">
      <w:pPr>
        <w:ind w:left="0" w:right="47" w:firstLine="0"/>
        <w:jc w:val="center"/>
        <w:rPr>
          <w:rFonts w:hint="default" w:eastAsia="宋体"/>
          <w:sz w:val="32"/>
          <w:szCs w:val="32"/>
          <w:lang w:val="en-US" w:eastAsia="zh-CN"/>
        </w:rPr>
      </w:pPr>
      <w:r>
        <w:rPr>
          <w:rFonts w:hint="eastAsia" w:eastAsia="宋体"/>
          <w:sz w:val="32"/>
          <w:szCs w:val="32"/>
          <w:lang w:val="en-US" w:eastAsia="zh-CN"/>
        </w:rPr>
        <w:t>(2330026213)</w:t>
      </w:r>
    </w:p>
    <w:p w14:paraId="6BE6C35D">
      <w:pPr>
        <w:ind w:left="0" w:right="47" w:firstLine="0"/>
        <w:jc w:val="center"/>
        <w:rPr>
          <w:rFonts w:hint="default" w:eastAsia="宋体"/>
          <w:i/>
          <w:sz w:val="32"/>
          <w:szCs w:val="32"/>
          <w:lang w:val="en-US" w:eastAsia="zh-CN"/>
        </w:rPr>
      </w:pPr>
      <w:r>
        <w:rPr>
          <w:rFonts w:hint="eastAsia" w:eastAsia="宋体"/>
          <w:i/>
          <w:sz w:val="32"/>
          <w:szCs w:val="32"/>
          <w:lang w:val="en-US" w:eastAsia="zh-CN"/>
        </w:rPr>
        <w:t>Zhang Shixuan</w:t>
      </w:r>
      <w:bookmarkStart w:id="8" w:name="_GoBack"/>
      <w:bookmarkEnd w:id="8"/>
    </w:p>
    <w:p w14:paraId="0EE1C4BE">
      <w:pPr>
        <w:ind w:left="0" w:right="47" w:firstLine="0"/>
        <w:jc w:val="center"/>
        <w:rPr>
          <w:rFonts w:eastAsia="宋体"/>
          <w:sz w:val="32"/>
          <w:szCs w:val="32"/>
          <w:lang w:eastAsia="zh-CN"/>
        </w:rPr>
      </w:pPr>
      <w:r>
        <w:rPr>
          <w:rFonts w:eastAsia="Times New Roman"/>
          <w:sz w:val="32"/>
          <w:szCs w:val="32"/>
        </w:rPr>
        <w:t>(</w:t>
      </w:r>
      <w:r>
        <w:rPr>
          <w:rFonts w:hint="eastAsia" w:eastAsia="宋体"/>
          <w:i/>
          <w:sz w:val="32"/>
          <w:szCs w:val="32"/>
          <w:lang w:eastAsia="zh-CN"/>
        </w:rPr>
        <w:t>2330026217</w:t>
      </w:r>
      <w:r>
        <w:rPr>
          <w:rFonts w:eastAsia="Times New Roman"/>
          <w:sz w:val="32"/>
          <w:szCs w:val="32"/>
        </w:rPr>
        <w:t>)</w:t>
      </w:r>
    </w:p>
    <w:p w14:paraId="06456D8A">
      <w:pPr>
        <w:ind w:left="0" w:right="47" w:firstLine="0"/>
        <w:jc w:val="center"/>
        <w:rPr>
          <w:rFonts w:eastAsia="宋体"/>
          <w:lang w:eastAsia="zh-CN"/>
        </w:rPr>
      </w:pPr>
    </w:p>
    <w:p w14:paraId="308809AC">
      <w:pPr>
        <w:ind w:left="0" w:right="47" w:firstLine="0"/>
        <w:jc w:val="center"/>
        <w:rPr>
          <w:rFonts w:eastAsia="Times New Roman"/>
          <w:sz w:val="32"/>
          <w:szCs w:val="32"/>
        </w:rPr>
      </w:pPr>
    </w:p>
    <w:p w14:paraId="6DE7CA59">
      <w:pPr>
        <w:ind w:left="0" w:right="47" w:firstLine="0"/>
        <w:jc w:val="center"/>
        <w:rPr>
          <w:rFonts w:eastAsia="Times New Roman"/>
          <w:sz w:val="32"/>
          <w:szCs w:val="32"/>
        </w:rPr>
      </w:pPr>
    </w:p>
    <w:p w14:paraId="7A1DF98D">
      <w:pPr>
        <w:ind w:left="0" w:right="47" w:firstLine="0"/>
        <w:jc w:val="center"/>
        <w:rPr>
          <w:rFonts w:hint="default" w:eastAsia="Times New Roman"/>
          <w:sz w:val="32"/>
          <w:szCs w:val="32"/>
          <w:lang w:val="en-US"/>
        </w:rPr>
      </w:pPr>
      <w:r>
        <w:rPr>
          <w:rFonts w:hint="eastAsia" w:eastAsia="宋体"/>
          <w:sz w:val="32"/>
          <w:szCs w:val="32"/>
          <w:lang w:eastAsia="zh-CN"/>
        </w:rPr>
        <w:t xml:space="preserve">Supervisor: </w:t>
      </w:r>
      <w:r>
        <w:rPr>
          <w:rFonts w:hint="eastAsia" w:eastAsia="宋体"/>
          <w:i/>
          <w:sz w:val="32"/>
          <w:szCs w:val="32"/>
          <w:lang w:val="en-US" w:eastAsia="zh-CN"/>
        </w:rPr>
        <w:t>Tian Tang</w:t>
      </w:r>
    </w:p>
    <w:p w14:paraId="6AFB850A">
      <w:pPr>
        <w:ind w:left="0" w:right="47" w:firstLine="0"/>
        <w:jc w:val="center"/>
        <w:rPr>
          <w:rFonts w:eastAsia="Times New Roman"/>
          <w:sz w:val="32"/>
          <w:szCs w:val="32"/>
        </w:rPr>
      </w:pPr>
    </w:p>
    <w:p w14:paraId="7FF20AC4">
      <w:pPr>
        <w:ind w:left="0" w:right="47" w:firstLine="0"/>
        <w:jc w:val="center"/>
        <w:rPr>
          <w:rFonts w:eastAsia="Times New Roman"/>
          <w:sz w:val="32"/>
          <w:szCs w:val="32"/>
        </w:rPr>
      </w:pPr>
      <w:r>
        <w:rPr>
          <w:rFonts w:eastAsia="Times New Roman"/>
          <w:sz w:val="32"/>
          <w:szCs w:val="32"/>
        </w:rPr>
        <w:t>Beijing Normal-Hong Kong Baptist University</w:t>
      </w:r>
    </w:p>
    <w:p w14:paraId="0393EE74">
      <w:pPr>
        <w:tabs>
          <w:tab w:val="left" w:pos="360"/>
        </w:tabs>
        <w:ind w:hanging="540"/>
        <w:jc w:val="center"/>
        <w:rPr>
          <w:rFonts w:eastAsia="Times New Roman"/>
          <w:sz w:val="32"/>
          <w:szCs w:val="32"/>
        </w:rPr>
      </w:pPr>
    </w:p>
    <w:p w14:paraId="5D2F8552">
      <w:pPr>
        <w:tabs>
          <w:tab w:val="left" w:pos="360"/>
        </w:tabs>
        <w:ind w:hanging="540"/>
        <w:jc w:val="center"/>
        <w:rPr>
          <w:rFonts w:eastAsia="Times New Roman"/>
          <w:sz w:val="32"/>
          <w:szCs w:val="32"/>
        </w:rPr>
      </w:pPr>
    </w:p>
    <w:p w14:paraId="031A88F0">
      <w:pPr>
        <w:ind w:hanging="540"/>
        <w:jc w:val="center"/>
        <w:rPr>
          <w:rFonts w:hint="default" w:eastAsia="宋体"/>
          <w:i/>
          <w:sz w:val="32"/>
          <w:szCs w:val="32"/>
          <w:lang w:val="en-US" w:eastAsia="zh-CN"/>
        </w:rPr>
      </w:pPr>
      <w:r>
        <w:rPr>
          <w:rFonts w:hint="eastAsia" w:eastAsia="宋体"/>
          <w:i/>
          <w:sz w:val="32"/>
          <w:szCs w:val="32"/>
          <w:lang w:val="en-US" w:eastAsia="zh-CN"/>
        </w:rPr>
        <w:t>6</w:t>
      </w:r>
      <w:r>
        <w:rPr>
          <w:rFonts w:eastAsia="Times New Roman"/>
          <w:sz w:val="32"/>
          <w:szCs w:val="32"/>
        </w:rPr>
        <w:t xml:space="preserve">, </w:t>
      </w:r>
      <w:r>
        <w:rPr>
          <w:rFonts w:hint="eastAsia" w:eastAsia="宋体"/>
          <w:i/>
          <w:sz w:val="32"/>
          <w:szCs w:val="32"/>
          <w:lang w:val="en-US" w:eastAsia="zh-CN"/>
        </w:rPr>
        <w:t>2026</w:t>
      </w:r>
    </w:p>
    <w:p w14:paraId="2C04131D">
      <w:pPr>
        <w:ind w:left="-27" w:firstLine="0"/>
        <w:rPr>
          <w:rFonts w:eastAsia="宋体"/>
          <w:i/>
          <w:sz w:val="32"/>
          <w:szCs w:val="32"/>
          <w:lang w:eastAsia="zh-CN"/>
        </w:rPr>
      </w:pPr>
      <w:r>
        <w:rPr>
          <w:rFonts w:eastAsia="宋体"/>
          <w:i/>
          <w:sz w:val="32"/>
          <w:szCs w:val="32"/>
          <w:lang w:eastAsia="zh-CN"/>
        </w:rPr>
        <w:br w:type="page"/>
      </w:r>
    </w:p>
    <w:sdt>
      <w:sdtPr>
        <w:id w:val="-1961331832"/>
        <w:docPartObj>
          <w:docPartGallery w:val="Table of Contents"/>
          <w:docPartUnique/>
        </w:docPartObj>
      </w:sdtPr>
      <w:sdtEndPr>
        <w:rPr>
          <w:b/>
          <w:bCs/>
        </w:rPr>
      </w:sdtEndPr>
      <w:sdtContent>
        <w:p w14:paraId="335E14A8">
          <w:pPr>
            <w:tabs>
              <w:tab w:val="clear" w:pos="960"/>
              <w:tab w:val="clear" w:pos="1440"/>
              <w:tab w:val="clear" w:pos="3261"/>
              <w:tab w:val="clear" w:pos="5670"/>
            </w:tabs>
            <w:suppressAutoHyphens w:val="0"/>
            <w:spacing w:before="0" w:after="0" w:line="240" w:lineRule="auto"/>
            <w:ind w:left="0" w:right="0" w:firstLine="0"/>
            <w:jc w:val="left"/>
            <w:textAlignment w:val="auto"/>
            <w:rPr>
              <w:sz w:val="36"/>
            </w:rPr>
          </w:pPr>
          <w:r>
            <w:rPr>
              <w:sz w:val="36"/>
            </w:rPr>
            <w:t>Contents</w:t>
          </w:r>
        </w:p>
        <w:p w14:paraId="7F225877">
          <w:pPr>
            <w:pStyle w:val="6"/>
            <w:rPr>
              <w:rFonts w:asciiTheme="minorHAnsi" w:hAnsiTheme="minorHAnsi" w:eastAsiaTheme="minorEastAsia" w:cstheme="minorBidi"/>
              <w:kern w:val="2"/>
              <w:sz w:val="24"/>
              <w:szCs w:val="24"/>
              <w:lang w:eastAsia="zh-CN"/>
              <w14:ligatures w14:val="standardContextual"/>
            </w:rPr>
          </w:pPr>
          <w:r>
            <w:rPr>
              <w:sz w:val="24"/>
              <w:szCs w:val="24"/>
            </w:rPr>
            <w:fldChar w:fldCharType="begin"/>
          </w:r>
          <w:r>
            <w:rPr>
              <w:sz w:val="24"/>
              <w:szCs w:val="24"/>
            </w:rPr>
            <w:instrText xml:space="preserve"> TOC \o "1-3" \h \z \u </w:instrText>
          </w:r>
          <w:r>
            <w:rPr>
              <w:sz w:val="24"/>
              <w:szCs w:val="24"/>
            </w:rPr>
            <w:fldChar w:fldCharType="separate"/>
          </w:r>
          <w:r>
            <w:fldChar w:fldCharType="begin"/>
          </w:r>
          <w:r>
            <w:instrText xml:space="preserve"> HYPERLINK \l "_Toc136265749" </w:instrText>
          </w:r>
          <w:r>
            <w:fldChar w:fldCharType="separate"/>
          </w:r>
          <w:r>
            <w:rPr>
              <w:rStyle w:val="11"/>
              <w:sz w:val="24"/>
              <w:szCs w:val="24"/>
            </w:rPr>
            <w:t>1</w:t>
          </w:r>
          <w:r>
            <w:rPr>
              <w:rFonts w:asciiTheme="minorHAnsi" w:hAnsiTheme="minorHAnsi" w:eastAsiaTheme="minorEastAsia" w:cstheme="minorBidi"/>
              <w:kern w:val="2"/>
              <w:sz w:val="24"/>
              <w:szCs w:val="24"/>
              <w:lang w:eastAsia="zh-CN"/>
              <w14:ligatures w14:val="standardContextual"/>
            </w:rPr>
            <w:tab/>
          </w:r>
          <w:r>
            <w:rPr>
              <w:rStyle w:val="11"/>
              <w:sz w:val="24"/>
              <w:szCs w:val="24"/>
            </w:rPr>
            <w:t>Introduction</w:t>
          </w:r>
          <w:r>
            <w:rPr>
              <w:sz w:val="24"/>
              <w:szCs w:val="24"/>
            </w:rPr>
            <w:tab/>
          </w:r>
          <w:r>
            <w:rPr>
              <w:sz w:val="24"/>
              <w:szCs w:val="24"/>
            </w:rPr>
            <w:fldChar w:fldCharType="begin"/>
          </w:r>
          <w:r>
            <w:rPr>
              <w:sz w:val="24"/>
              <w:szCs w:val="24"/>
            </w:rPr>
            <w:instrText xml:space="preserve"> PAGEREF _Toc136265749 \h </w:instrText>
          </w:r>
          <w:r>
            <w:rPr>
              <w:sz w:val="24"/>
              <w:szCs w:val="24"/>
            </w:rPr>
            <w:fldChar w:fldCharType="separate"/>
          </w:r>
          <w:r>
            <w:rPr>
              <w:sz w:val="24"/>
              <w:szCs w:val="24"/>
            </w:rPr>
            <w:t>3</w:t>
          </w:r>
          <w:r>
            <w:rPr>
              <w:sz w:val="24"/>
              <w:szCs w:val="24"/>
            </w:rPr>
            <w:fldChar w:fldCharType="end"/>
          </w:r>
          <w:r>
            <w:rPr>
              <w:sz w:val="24"/>
              <w:szCs w:val="24"/>
            </w:rPr>
            <w:fldChar w:fldCharType="end"/>
          </w:r>
        </w:p>
        <w:p w14:paraId="63A8CCD5">
          <w:pPr>
            <w:pStyle w:val="6"/>
            <w:spacing w:line="360" w:lineRule="auto"/>
            <w:rPr>
              <w:rFonts w:asciiTheme="minorHAnsi" w:hAnsiTheme="minorHAnsi" w:eastAsiaTheme="minorEastAsia" w:cstheme="minorBidi"/>
              <w:kern w:val="2"/>
              <w:sz w:val="24"/>
              <w:szCs w:val="24"/>
              <w:lang w:eastAsia="zh-CN"/>
              <w14:ligatures w14:val="standardContextual"/>
            </w:rPr>
          </w:pPr>
          <w:r>
            <w:fldChar w:fldCharType="begin"/>
          </w:r>
          <w:r>
            <w:instrText xml:space="preserve"> HYPERLINK \l "_Toc136265750" </w:instrText>
          </w:r>
          <w:r>
            <w:fldChar w:fldCharType="separate"/>
          </w:r>
          <w:r>
            <w:rPr>
              <w:rStyle w:val="11"/>
              <w:sz w:val="24"/>
              <w:szCs w:val="24"/>
            </w:rPr>
            <w:t>2</w:t>
          </w:r>
          <w:r>
            <w:rPr>
              <w:rFonts w:asciiTheme="minorHAnsi" w:hAnsiTheme="minorHAnsi" w:eastAsiaTheme="minorEastAsia" w:cstheme="minorBidi"/>
              <w:kern w:val="2"/>
              <w:sz w:val="24"/>
              <w:szCs w:val="24"/>
              <w:lang w:eastAsia="zh-CN"/>
              <w14:ligatures w14:val="standardContextual"/>
            </w:rPr>
            <w:tab/>
          </w:r>
          <w:r>
            <w:rPr>
              <w:rStyle w:val="11"/>
              <w:sz w:val="24"/>
              <w:szCs w:val="24"/>
            </w:rPr>
            <w:t>Related work</w:t>
          </w:r>
          <w:r>
            <w:rPr>
              <w:sz w:val="24"/>
              <w:szCs w:val="24"/>
            </w:rPr>
            <w:tab/>
          </w:r>
          <w:r>
            <w:rPr>
              <w:sz w:val="24"/>
              <w:szCs w:val="24"/>
            </w:rPr>
            <w:fldChar w:fldCharType="begin"/>
          </w:r>
          <w:r>
            <w:rPr>
              <w:sz w:val="24"/>
              <w:szCs w:val="24"/>
            </w:rPr>
            <w:instrText xml:space="preserve"> PAGEREF _Toc136265750 \h </w:instrText>
          </w:r>
          <w:r>
            <w:rPr>
              <w:sz w:val="24"/>
              <w:szCs w:val="24"/>
            </w:rPr>
            <w:fldChar w:fldCharType="separate"/>
          </w:r>
          <w:r>
            <w:rPr>
              <w:sz w:val="24"/>
              <w:szCs w:val="24"/>
            </w:rPr>
            <w:t>3</w:t>
          </w:r>
          <w:r>
            <w:rPr>
              <w:sz w:val="24"/>
              <w:szCs w:val="24"/>
            </w:rPr>
            <w:fldChar w:fldCharType="end"/>
          </w:r>
          <w:r>
            <w:rPr>
              <w:sz w:val="24"/>
              <w:szCs w:val="24"/>
            </w:rPr>
            <w:fldChar w:fldCharType="end"/>
          </w:r>
        </w:p>
        <w:p w14:paraId="5DC6EE1B">
          <w:pPr>
            <w:pStyle w:val="6"/>
            <w:spacing w:line="360" w:lineRule="auto"/>
            <w:rPr>
              <w:rFonts w:asciiTheme="minorHAnsi" w:hAnsiTheme="minorHAnsi" w:eastAsiaTheme="minorEastAsia" w:cstheme="minorBidi"/>
              <w:kern w:val="2"/>
              <w:sz w:val="24"/>
              <w:szCs w:val="24"/>
              <w:lang w:eastAsia="zh-CN"/>
              <w14:ligatures w14:val="standardContextual"/>
            </w:rPr>
          </w:pPr>
          <w:r>
            <w:fldChar w:fldCharType="begin"/>
          </w:r>
          <w:r>
            <w:instrText xml:space="preserve"> HYPERLINK \l "_Toc136265751" </w:instrText>
          </w:r>
          <w:r>
            <w:fldChar w:fldCharType="separate"/>
          </w:r>
          <w:r>
            <w:rPr>
              <w:rStyle w:val="11"/>
              <w:sz w:val="24"/>
              <w:szCs w:val="24"/>
            </w:rPr>
            <w:t>3</w:t>
          </w:r>
          <w:r>
            <w:rPr>
              <w:rFonts w:asciiTheme="minorHAnsi" w:hAnsiTheme="minorHAnsi" w:eastAsiaTheme="minorEastAsia" w:cstheme="minorBidi"/>
              <w:kern w:val="2"/>
              <w:sz w:val="24"/>
              <w:szCs w:val="24"/>
              <w:lang w:eastAsia="zh-CN"/>
              <w14:ligatures w14:val="standardContextual"/>
            </w:rPr>
            <w:tab/>
          </w:r>
          <w:r>
            <w:rPr>
              <w:rStyle w:val="11"/>
              <w:sz w:val="24"/>
              <w:szCs w:val="24"/>
            </w:rPr>
            <w:t>Project Outline</w:t>
          </w:r>
          <w:r>
            <w:rPr>
              <w:sz w:val="24"/>
              <w:szCs w:val="24"/>
            </w:rPr>
            <w:tab/>
          </w:r>
          <w:r>
            <w:rPr>
              <w:sz w:val="24"/>
              <w:szCs w:val="24"/>
            </w:rPr>
            <w:fldChar w:fldCharType="begin"/>
          </w:r>
          <w:r>
            <w:rPr>
              <w:sz w:val="24"/>
              <w:szCs w:val="24"/>
            </w:rPr>
            <w:instrText xml:space="preserve"> PAGEREF _Toc136265751 \h </w:instrText>
          </w:r>
          <w:r>
            <w:rPr>
              <w:sz w:val="24"/>
              <w:szCs w:val="24"/>
            </w:rPr>
            <w:fldChar w:fldCharType="separate"/>
          </w:r>
          <w:r>
            <w:rPr>
              <w:sz w:val="24"/>
              <w:szCs w:val="24"/>
            </w:rPr>
            <w:t>3</w:t>
          </w:r>
          <w:r>
            <w:rPr>
              <w:sz w:val="24"/>
              <w:szCs w:val="24"/>
            </w:rPr>
            <w:fldChar w:fldCharType="end"/>
          </w:r>
          <w:r>
            <w:rPr>
              <w:sz w:val="24"/>
              <w:szCs w:val="24"/>
            </w:rPr>
            <w:fldChar w:fldCharType="end"/>
          </w:r>
        </w:p>
        <w:p w14:paraId="33A95CC6">
          <w:pPr>
            <w:pStyle w:val="6"/>
            <w:spacing w:line="360" w:lineRule="auto"/>
            <w:rPr>
              <w:rFonts w:asciiTheme="minorHAnsi" w:hAnsiTheme="minorHAnsi" w:eastAsiaTheme="minorEastAsia" w:cstheme="minorBidi"/>
              <w:kern w:val="2"/>
              <w:sz w:val="24"/>
              <w:szCs w:val="24"/>
              <w:lang w:eastAsia="zh-CN"/>
              <w14:ligatures w14:val="standardContextual"/>
            </w:rPr>
          </w:pPr>
          <w:r>
            <w:fldChar w:fldCharType="begin"/>
          </w:r>
          <w:r>
            <w:instrText xml:space="preserve"> HYPERLINK \l "_Toc136265752" </w:instrText>
          </w:r>
          <w:r>
            <w:fldChar w:fldCharType="separate"/>
          </w:r>
          <w:r>
            <w:rPr>
              <w:rStyle w:val="11"/>
              <w:sz w:val="24"/>
              <w:szCs w:val="24"/>
            </w:rPr>
            <w:t>References</w:t>
          </w:r>
          <w:r>
            <w:rPr>
              <w:sz w:val="24"/>
              <w:szCs w:val="24"/>
            </w:rPr>
            <w:tab/>
          </w:r>
          <w:r>
            <w:rPr>
              <w:sz w:val="24"/>
              <w:szCs w:val="24"/>
            </w:rPr>
            <w:fldChar w:fldCharType="begin"/>
          </w:r>
          <w:r>
            <w:rPr>
              <w:sz w:val="24"/>
              <w:szCs w:val="24"/>
            </w:rPr>
            <w:instrText xml:space="preserve"> PAGEREF _Toc136265752 \h </w:instrText>
          </w:r>
          <w:r>
            <w:rPr>
              <w:sz w:val="24"/>
              <w:szCs w:val="24"/>
            </w:rPr>
            <w:fldChar w:fldCharType="separate"/>
          </w:r>
          <w:r>
            <w:rPr>
              <w:sz w:val="24"/>
              <w:szCs w:val="24"/>
            </w:rPr>
            <w:t>3</w:t>
          </w:r>
          <w:r>
            <w:rPr>
              <w:sz w:val="24"/>
              <w:szCs w:val="24"/>
            </w:rPr>
            <w:fldChar w:fldCharType="end"/>
          </w:r>
          <w:r>
            <w:rPr>
              <w:sz w:val="24"/>
              <w:szCs w:val="24"/>
            </w:rPr>
            <w:fldChar w:fldCharType="end"/>
          </w:r>
        </w:p>
        <w:p w14:paraId="4713C20E">
          <w:r>
            <w:rPr>
              <w:b/>
              <w:bCs/>
              <w:sz w:val="24"/>
              <w:szCs w:val="24"/>
            </w:rPr>
            <w:fldChar w:fldCharType="end"/>
          </w:r>
        </w:p>
      </w:sdtContent>
    </w:sdt>
    <w:p w14:paraId="5C08752A">
      <w:pPr>
        <w:tabs>
          <w:tab w:val="clear" w:pos="960"/>
          <w:tab w:val="clear" w:pos="1440"/>
          <w:tab w:val="clear" w:pos="3261"/>
          <w:tab w:val="clear" w:pos="5670"/>
        </w:tabs>
        <w:suppressAutoHyphens w:val="0"/>
        <w:spacing w:before="0" w:after="0" w:line="240" w:lineRule="auto"/>
        <w:ind w:left="0" w:right="0" w:firstLine="0"/>
        <w:jc w:val="left"/>
        <w:textAlignment w:val="auto"/>
        <w:rPr>
          <w:rFonts w:eastAsia="宋体"/>
          <w:i/>
          <w:sz w:val="32"/>
          <w:szCs w:val="32"/>
          <w:lang w:eastAsia="zh-CN"/>
        </w:rPr>
      </w:pPr>
      <w:r>
        <w:rPr>
          <w:rFonts w:eastAsia="宋体"/>
          <w:i/>
          <w:sz w:val="32"/>
          <w:szCs w:val="32"/>
          <w:lang w:eastAsia="zh-CN"/>
        </w:rPr>
        <w:br w:type="page"/>
      </w:r>
    </w:p>
    <w:p w14:paraId="18F18BEE">
      <w:pPr>
        <w:pStyle w:val="2"/>
      </w:pPr>
      <w:bookmarkStart w:id="0" w:name="_Toc136265749"/>
      <w:bookmarkStart w:id="1" w:name="_Toc422231960"/>
      <w:r>
        <w:rPr>
          <w:rFonts w:hint="eastAsia"/>
        </w:rPr>
        <w:t>Introduction</w:t>
      </w:r>
      <w:bookmarkEnd w:id="0"/>
      <w:bookmarkEnd w:id="1"/>
    </w:p>
    <w:p w14:paraId="3DF8A26E">
      <w:pPr>
        <w:ind w:left="0" w:firstLine="426"/>
        <w:rPr>
          <w:rFonts w:hint="eastAsia" w:eastAsia="宋体"/>
          <w:i/>
          <w:sz w:val="24"/>
          <w:lang w:eastAsia="zh-CN"/>
        </w:rPr>
      </w:pPr>
      <w:r>
        <w:rPr>
          <w:rFonts w:hint="eastAsia" w:eastAsia="宋体"/>
          <w:i/>
          <w:sz w:val="24"/>
          <w:lang w:eastAsia="zh-CN"/>
        </w:rPr>
        <w:t>Football match prediction is a typical issue in sports analysis, decision science and predictive market research. Compared with high-scoring sports like basketball, football has fewer goals scored in a single game, and accidental events have a greater impact on the outcome. The performance of the same team in short-term competitions is also easily affected by the schedule, injuries, red cards, penalty kicks and knockout strategies. Therefore, simplifying the prediction task to "guessing the winner or loser" would result in a significant loss of information. A more reasonable objective is to estimate the probabilities of home win, draw and away win that are mutually exclusive and have a sum of 1, and to test whether the model has the ability to distinguish without being overly confident through strict probability scores such as Log Loss and Brier Score.</w:t>
      </w:r>
    </w:p>
    <w:p w14:paraId="69A6361C">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52" w:lineRule="atLeast"/>
        <w:ind w:left="0" w:right="0"/>
        <w:rPr>
          <w:rFonts w:hint="eastAsia" w:eastAsia="宋体" w:cs="Times New Roman"/>
          <w:i/>
          <w:kern w:val="0"/>
          <w:sz w:val="24"/>
          <w:szCs w:val="20"/>
          <w:lang w:val="en-US" w:eastAsia="zh-CN" w:bidi="ar-SA"/>
        </w:rPr>
      </w:pPr>
      <w:r>
        <w:rPr>
          <w:rFonts w:hint="eastAsia" w:eastAsia="宋体" w:cs="Times New Roman"/>
          <w:i/>
          <w:kern w:val="0"/>
          <w:sz w:val="24"/>
          <w:szCs w:val="20"/>
          <w:lang w:val="en-US" w:eastAsia="zh-CN" w:bidi="ar-SA"/>
        </w:rPr>
        <w:tab/>
        <w:t xml:space="preserve">  </w:t>
      </w:r>
      <w:r>
        <w:rPr>
          <w:rFonts w:hint="eastAsia" w:ascii="Times New Roman" w:hAnsi="Times New Roman" w:eastAsia="宋体" w:cs="Times New Roman"/>
          <w:i/>
          <w:kern w:val="0"/>
          <w:sz w:val="24"/>
          <w:szCs w:val="20"/>
          <w:lang w:val="en-US" w:eastAsia="zh-CN" w:bidi="ar-SA"/>
        </w:rPr>
        <w:t>The prediction of the national team for the World Cup still faces additional difficulties. First, the frequency of national team matches is lower than that of professional leagues, and the homogeneous samples available for fitting are limited. Second, FIFA rankings have adopted different scoring systems in different periods, and the original points cannot be directly compared across editions. Thirdly, the World Cup is often held in neutral venues, but the host country may still enjoy advantages such as travel, climate and audience support. Fourth, the risk appetite, extra time and penalty rules in the knockout stage are different from those in the group stage. Based on these characteristics, this article selects "How to convert FIFA rankings into verifiable probabilities of winning, drawing and losing in the World Cup and make reasonable use of information in the gambling market" as the review topic</w:t>
      </w:r>
      <w:r>
        <w:rPr>
          <w:rFonts w:hint="eastAsia" w:eastAsia="宋体" w:cs="Times New Roman"/>
          <w:i/>
          <w:kern w:val="0"/>
          <w:sz w:val="24"/>
          <w:szCs w:val="20"/>
          <w:lang w:val="en-US" w:eastAsia="zh-CN" w:bidi="ar-SA"/>
        </w:rPr>
        <w:t>.</w:t>
      </w:r>
    </w:p>
    <w:p w14:paraId="4C4521C6">
      <w:pPr>
        <w:pStyle w:val="2"/>
      </w:pPr>
      <w:bookmarkStart w:id="2" w:name="_Toc422231961"/>
      <w:bookmarkStart w:id="3" w:name="_Toc136265750"/>
      <w:r>
        <w:rPr>
          <w:rFonts w:hint="eastAsia"/>
        </w:rPr>
        <w:t>Related work</w:t>
      </w:r>
      <w:bookmarkEnd w:id="2"/>
      <w:bookmarkEnd w:id="3"/>
    </w:p>
    <w:p w14:paraId="02F5568F">
      <w:pPr>
        <w:numPr>
          <w:ilvl w:val="0"/>
          <w:numId w:val="2"/>
        </w:numPr>
        <w:rPr>
          <w:rFonts w:hint="eastAsia" w:ascii="Times New Roman" w:hAnsi="Times New Roman" w:eastAsia="宋体" w:cs="Times New Roman"/>
          <w:b/>
          <w:bCs/>
          <w:i/>
          <w:kern w:val="0"/>
          <w:sz w:val="24"/>
          <w:szCs w:val="20"/>
          <w:lang w:val="en-US" w:eastAsia="zh-CN" w:bidi="ar-SA"/>
        </w:rPr>
      </w:pPr>
      <w:r>
        <w:rPr>
          <w:rFonts w:hint="eastAsia" w:ascii="Times New Roman" w:hAnsi="Times New Roman" w:eastAsia="宋体" w:cs="Times New Roman"/>
          <w:b/>
          <w:bCs/>
          <w:i/>
          <w:kern w:val="0"/>
          <w:sz w:val="24"/>
          <w:szCs w:val="20"/>
          <w:lang w:val="en-US" w:eastAsia="zh-CN" w:bidi="ar-SA"/>
        </w:rPr>
        <w:t>The predictive validity of early FIFA rankings</w:t>
      </w:r>
    </w:p>
    <w:p w14:paraId="54B1C322">
      <w:pPr>
        <w:numPr>
          <w:numId w:val="0"/>
        </w:numPr>
        <w:ind w:left="-27" w:leftChars="0" w:right="10" w:rightChars="0"/>
        <w:rPr>
          <w:rFonts w:hint="default" w:ascii="Times New Roman" w:hAnsi="Times New Roman" w:eastAsia="宋体" w:cs="Times New Roman"/>
          <w:b/>
          <w:bCs/>
          <w:i/>
          <w:kern w:val="0"/>
          <w:sz w:val="24"/>
          <w:szCs w:val="20"/>
          <w:lang w:val="en-US" w:eastAsia="zh-CN" w:bidi="ar-SA"/>
        </w:rPr>
      </w:pPr>
    </w:p>
    <w:p w14:paraId="17BFC092">
      <w:pPr>
        <w:ind w:left="0" w:leftChars="0" w:firstLine="480" w:firstLineChars="200"/>
        <w:jc w:val="both"/>
        <w:rPr>
          <w:rFonts w:hint="eastAsia" w:ascii="Times New Roman" w:hAnsi="Times New Roman" w:eastAsia="宋体" w:cs="Times New Roman"/>
          <w:i/>
          <w:kern w:val="0"/>
          <w:sz w:val="24"/>
          <w:szCs w:val="20"/>
          <w:lang w:val="en-US" w:eastAsia="zh-CN" w:bidi="ar-SA"/>
        </w:rPr>
      </w:pPr>
      <w:r>
        <w:rPr>
          <w:rFonts w:hint="eastAsia" w:ascii="Times New Roman" w:hAnsi="Times New Roman" w:eastAsia="宋体" w:cs="Times New Roman"/>
          <w:i/>
          <w:kern w:val="0"/>
          <w:sz w:val="24"/>
          <w:szCs w:val="20"/>
          <w:lang w:val="en-US" w:eastAsia="zh-CN" w:bidi="ar-SA"/>
        </w:rPr>
        <w:t>Suzuki and Ohmori [1] used the results of the 1994, 1998, 2002 and 2006 World Cups and the FIFA rankings before each tournament to examine the relationship between rankings and advancement as well as match wins and losses. Research has found that the probability of the top 16 teams advancing to the knockout stage is significantly higher than that of the rest. The proportion of high-ranked teams defeating low-ranked teams in the first stage is approximately 69.1%, and the correlation coefficient between rankings and final performance in the World Cup is about 0.40. Based on this, the author believes that FIFA rankings can serve as an effective source of information for World Cup predictions. However, this "effectiveness" should be understood as having statistical information rather than being sufficient to independently determine the outcome of the match: its prediction accuracy rate for Germany's World Cup qualification is 62.5%, and the advantage of higher-ranked teams in the knockout stage is also weaker than that in the group stage.</w:t>
      </w:r>
    </w:p>
    <w:p w14:paraId="5DA8A7BD">
      <w:pPr>
        <w:jc w:val="both"/>
        <w:rPr>
          <w:rFonts w:hint="eastAsia" w:ascii="Times New Roman" w:hAnsi="Times New Roman" w:eastAsia="宋体" w:cs="Times New Roman"/>
          <w:i/>
          <w:kern w:val="0"/>
          <w:sz w:val="24"/>
          <w:szCs w:val="20"/>
          <w:lang w:val="en-US" w:eastAsia="zh-CN" w:bidi="ar-SA"/>
        </w:rPr>
      </w:pPr>
    </w:p>
    <w:p w14:paraId="23B93699">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52" w:lineRule="atLeast"/>
        <w:ind w:left="0" w:right="0"/>
        <w:rPr>
          <w:rFonts w:hint="eastAsia" w:ascii="Times New Roman" w:hAnsi="Times New Roman" w:eastAsia="宋体" w:cs="Times New Roman"/>
          <w:i/>
          <w:kern w:val="0"/>
          <w:sz w:val="24"/>
          <w:szCs w:val="20"/>
          <w:lang w:val="en-US" w:eastAsia="zh-CN" w:bidi="ar-SA"/>
        </w:rPr>
      </w:pPr>
      <w:r>
        <w:rPr>
          <w:rFonts w:hint="eastAsia" w:eastAsia="宋体" w:cs="Times New Roman"/>
          <w:i/>
          <w:kern w:val="0"/>
          <w:sz w:val="24"/>
          <w:szCs w:val="20"/>
          <w:lang w:val="en-US" w:eastAsia="zh-CN" w:bidi="ar-SA"/>
        </w:rPr>
        <w:tab/>
        <w:t xml:space="preserve">  </w:t>
      </w:r>
      <w:r>
        <w:rPr>
          <w:rFonts w:hint="eastAsia" w:ascii="Times New Roman" w:hAnsi="Times New Roman" w:eastAsia="宋体" w:cs="Times New Roman"/>
          <w:i/>
          <w:kern w:val="0"/>
          <w:sz w:val="24"/>
          <w:szCs w:val="20"/>
          <w:lang w:val="en-US" w:eastAsia="zh-CN" w:bidi="ar-SA"/>
        </w:rPr>
        <w:t>The significant contribution of this study is the establishment of an empirical connection between FIFA rankings and World Cup performance, but its conclusion is constrained by historical institutions. At that time, the ranking was based on the average scores of competitions over the past few years, the importance of the events and regional factors, and was easily affected by the number of competitions, the lack of qualifying matches in the host country and the weight of the continents. Furthermore, the research mainly employs ranking order and rule-based judgment, which cannot directly generate a complete probability of winning, drawing or losing, nor does it adopt a strict cross-session training-test separation. For this project, this means that FIFA points are suitable to serve as the core strength feature, but they must undergo probabilistic model transformation and true out-of-sample validation.</w:t>
      </w:r>
    </w:p>
    <w:p w14:paraId="506014E6">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52" w:lineRule="atLeast"/>
        <w:ind w:left="0" w:right="0"/>
        <w:rPr>
          <w:rFonts w:hint="eastAsia" w:ascii="Times New Roman" w:hAnsi="Times New Roman" w:eastAsia="宋体" w:cs="Times New Roman"/>
          <w:i/>
          <w:kern w:val="0"/>
          <w:sz w:val="24"/>
          <w:szCs w:val="20"/>
          <w:lang w:val="en-US" w:eastAsia="zh-CN" w:bidi="ar-SA"/>
        </w:rPr>
      </w:pPr>
    </w:p>
    <w:p w14:paraId="797AC6BF">
      <w:pPr>
        <w:pStyle w:val="7"/>
        <w:keepNext w:val="0"/>
        <w:keepLines w:val="0"/>
        <w:widowControl/>
        <w:suppressLineNumbers w:val="0"/>
        <w:pBdr>
          <w:top w:val="none" w:color="auto" w:sz="0" w:space="0"/>
          <w:left w:val="none" w:color="auto" w:sz="0" w:space="0"/>
          <w:bottom w:val="none" w:color="auto" w:sz="0" w:space="0"/>
          <w:right w:val="none" w:color="auto" w:sz="0" w:space="0"/>
        </w:pBdr>
        <w:tabs>
          <w:tab w:val="left" w:pos="960"/>
          <w:tab w:val="left" w:pos="1440"/>
          <w:tab w:val="left" w:pos="3261"/>
          <w:tab w:val="left" w:pos="5670"/>
        </w:tabs>
        <w:spacing w:before="0" w:beforeAutospacing="0" w:after="0" w:afterAutospacing="0" w:line="252" w:lineRule="atLeast"/>
        <w:ind w:left="0" w:right="0"/>
        <w:rPr>
          <w:rFonts w:hint="default" w:ascii="Times New Roman" w:hAnsi="Times New Roman" w:eastAsia="宋体" w:cs="Times New Roman"/>
          <w:b/>
          <w:bCs/>
          <w:i/>
          <w:kern w:val="0"/>
          <w:sz w:val="24"/>
          <w:szCs w:val="20"/>
          <w:lang w:val="en-US" w:eastAsia="zh-CN" w:bidi="ar-SA"/>
        </w:rPr>
      </w:pPr>
      <w:r>
        <w:rPr>
          <w:rFonts w:hint="eastAsia" w:eastAsia="宋体" w:cs="Times New Roman"/>
          <w:b/>
          <w:bCs/>
          <w:i/>
          <w:kern w:val="0"/>
          <w:sz w:val="24"/>
          <w:szCs w:val="20"/>
          <w:lang w:val="en-US" w:eastAsia="zh-CN" w:bidi="ar-SA"/>
        </w:rPr>
        <w:tab/>
      </w:r>
      <w:r>
        <w:rPr>
          <w:rFonts w:hint="eastAsia" w:ascii="Times New Roman" w:hAnsi="Times New Roman" w:eastAsia="宋体" w:cs="Times New Roman"/>
          <w:b/>
          <w:bCs/>
          <w:i/>
          <w:kern w:val="0"/>
          <w:sz w:val="24"/>
          <w:szCs w:val="20"/>
          <w:lang w:val="en-US" w:eastAsia="zh-CN" w:bidi="ar-SA"/>
        </w:rPr>
        <w:t>2.Changes in the ranking system and cross-year comparability</w:t>
      </w:r>
    </w:p>
    <w:p w14:paraId="0C5D1391">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52" w:lineRule="atLeast"/>
        <w:ind w:left="0" w:right="0"/>
        <w:rPr>
          <w:rFonts w:hint="eastAsia" w:ascii="Times New Roman" w:hAnsi="Times New Roman" w:eastAsia="宋体" w:cs="Times New Roman"/>
          <w:i/>
          <w:kern w:val="0"/>
          <w:sz w:val="24"/>
          <w:szCs w:val="20"/>
          <w:lang w:val="en-US" w:eastAsia="zh-CN" w:bidi="ar-SA"/>
        </w:rPr>
      </w:pPr>
    </w:p>
    <w:p w14:paraId="0ECBCE65">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52" w:lineRule="atLeast"/>
        <w:ind w:left="0" w:right="0"/>
        <w:rPr>
          <w:rFonts w:hint="eastAsia" w:ascii="Times New Roman" w:hAnsi="Times New Roman" w:eastAsia="宋体" w:cs="Times New Roman"/>
          <w:i/>
          <w:kern w:val="0"/>
          <w:sz w:val="24"/>
          <w:szCs w:val="20"/>
          <w:lang w:val="en-US" w:eastAsia="zh-CN" w:bidi="ar-SA"/>
        </w:rPr>
      </w:pPr>
      <w:r>
        <w:rPr>
          <w:rFonts w:hint="eastAsia" w:eastAsia="宋体" w:cs="Times New Roman"/>
          <w:i/>
          <w:kern w:val="0"/>
          <w:sz w:val="24"/>
          <w:szCs w:val="20"/>
          <w:lang w:val="en-US" w:eastAsia="zh-CN" w:bidi="ar-SA"/>
        </w:rPr>
        <w:tab/>
        <w:t xml:space="preserve">  </w:t>
      </w:r>
      <w:r>
        <w:rPr>
          <w:rFonts w:hint="eastAsia" w:ascii="Times New Roman" w:hAnsi="Times New Roman" w:eastAsia="宋体" w:cs="Times New Roman"/>
          <w:i/>
          <w:kern w:val="0"/>
          <w:sz w:val="24"/>
          <w:szCs w:val="20"/>
          <w:lang w:val="en-US" w:eastAsia="zh-CN" w:bidi="ar-SA"/>
        </w:rPr>
        <w:t xml:space="preserve">Wunderlich and Memmert [2] compared FIFA rankings with betting market predictions for the 2006, 2010, and 2014 World Cups, and developed a framework to derive percentage </w:t>
      </w:r>
      <w:r>
        <w:rPr>
          <w:rFonts w:hint="eastAsia" w:ascii="Times New Roman" w:hAnsi="Times New Roman" w:eastAsia="宋体" w:cs="Times New Roman"/>
          <w:i/>
          <w:kern w:val="0"/>
          <w:sz w:val="24"/>
          <w:szCs w:val="20"/>
          <w:lang w:val="en-US" w:eastAsia="zh-CN" w:bidi="ar-SA"/>
        </w:rPr>
        <w:t xml:space="preserve">forecasts </w:t>
      </w:r>
      <w:r>
        <w:rPr>
          <w:rFonts w:hint="eastAsia" w:ascii="Times New Roman" w:hAnsi="Times New Roman" w:eastAsia="宋体" w:cs="Times New Roman"/>
          <w:i/>
          <w:kern w:val="0"/>
          <w:sz w:val="24"/>
          <w:szCs w:val="20"/>
          <w:lang w:val="en-US" w:eastAsia="zh-CN" w:bidi="ar-SA"/>
        </w:rPr>
        <w:t>from ranking differences. The results showed that after adjusting the calculation method in 2006, the predictive quality of FIFA rankings improved significantly; in the 2014 World Cup and in the combined 2010–2014 sample, the ranking model even outperformed the benchmark betting market predictions used. These findings suggest that simple, publicly available rankings are not necessarily inferior to complex or information-rich market forecasts. However, the authors also emphasize that only two World Cup samples were available under the new system, so statistical conclusions should be interpreted cautiously. In 2018, FIFA reintroduced the SUM algorithm [6], whose core formula is P = Pbefore + I(W - We). Here, Pbefore represents pre-match points, I denotes match importance, W is the actual result, and We is calculated using a logistic function based on the Elo-style difference in team ratings. Matches before the quarterfinals carry a weight of 50, while those from the quarterfinals onward have a weight of 60; winners of penalty shootouts receive 0.75 points and losers 0.50; in knockout stages of the final tournament, negative updates do not result in point deductions. Compared to the previous annual average system, the SUM algorithm adjusts points game by game, eliminates continental coefficients, and reduces opportunities for manipulating rankings through fewer friendly matches.</w:t>
      </w:r>
    </w:p>
    <w:p w14:paraId="0E42AABE">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52" w:lineRule="atLeast"/>
        <w:ind w:left="0" w:right="0"/>
        <w:rPr>
          <w:rFonts w:hint="eastAsia" w:ascii="Times New Roman" w:hAnsi="Times New Roman" w:eastAsia="宋体" w:cs="Times New Roman"/>
          <w:i/>
          <w:kern w:val="0"/>
          <w:sz w:val="24"/>
          <w:szCs w:val="20"/>
          <w:lang w:val="en-US" w:eastAsia="zh-CN" w:bidi="ar-SA"/>
        </w:rPr>
      </w:pPr>
    </w:p>
    <w:p w14:paraId="02E5B3CC">
      <w:pPr>
        <w:pStyle w:val="7"/>
        <w:keepNext w:val="0"/>
        <w:keepLines w:val="0"/>
        <w:widowControl/>
        <w:suppressLineNumbers w:val="0"/>
        <w:pBdr>
          <w:top w:val="none" w:color="auto" w:sz="0" w:space="0"/>
          <w:left w:val="none" w:color="auto" w:sz="0" w:space="0"/>
          <w:bottom w:val="none" w:color="auto" w:sz="0" w:space="0"/>
          <w:right w:val="none" w:color="auto" w:sz="0" w:space="0"/>
        </w:pBdr>
        <w:tabs>
          <w:tab w:val="left" w:pos="960"/>
          <w:tab w:val="left" w:pos="1440"/>
          <w:tab w:val="left" w:pos="3261"/>
          <w:tab w:val="left" w:pos="5670"/>
        </w:tabs>
        <w:spacing w:before="0" w:beforeAutospacing="0" w:after="0" w:afterAutospacing="0" w:line="252" w:lineRule="atLeast"/>
        <w:ind w:left="0" w:right="0"/>
        <w:rPr>
          <w:rFonts w:hint="eastAsia" w:ascii="Times New Roman" w:hAnsi="Times New Roman" w:eastAsia="宋体" w:cs="Times New Roman"/>
          <w:i/>
          <w:kern w:val="0"/>
          <w:sz w:val="24"/>
          <w:szCs w:val="20"/>
          <w:lang w:val="en-US" w:eastAsia="zh-CN" w:bidi="ar-SA"/>
        </w:rPr>
      </w:pPr>
      <w:r>
        <w:rPr>
          <w:rFonts w:hint="eastAsia" w:eastAsia="宋体" w:cs="Times New Roman"/>
          <w:i/>
          <w:kern w:val="0"/>
          <w:sz w:val="24"/>
          <w:szCs w:val="20"/>
          <w:lang w:val="en-US" w:eastAsia="zh-CN" w:bidi="ar-SA"/>
        </w:rPr>
        <w:tab/>
        <w:t xml:space="preserve">  </w:t>
      </w:r>
      <w:r>
        <w:rPr>
          <w:rFonts w:hint="eastAsia" w:ascii="Times New Roman" w:hAnsi="Times New Roman" w:eastAsia="宋体" w:cs="Times New Roman"/>
          <w:i/>
          <w:kern w:val="0"/>
          <w:sz w:val="24"/>
          <w:szCs w:val="20"/>
          <w:lang w:val="en-US" w:eastAsia="zh-CN" w:bidi="ar-SA"/>
        </w:rPr>
        <w:t xml:space="preserve">The direct methodological issue brought about by institutional changes is that the original integral scales for 2014, 2018 and 2022 were not stable. The current demo does not directly compare the original scores across editions. Instead, it calculates </w:t>
      </w:r>
    </w:p>
    <w:p w14:paraId="735B56AC">
      <w:pPr>
        <w:pStyle w:val="7"/>
        <w:keepNext w:val="0"/>
        <w:keepLines w:val="0"/>
        <w:widowControl/>
        <w:suppressLineNumbers w:val="0"/>
        <w:pBdr>
          <w:top w:val="none" w:color="auto" w:sz="0" w:space="0"/>
          <w:left w:val="none" w:color="auto" w:sz="0" w:space="0"/>
          <w:bottom w:val="none" w:color="auto" w:sz="0" w:space="0"/>
          <w:right w:val="none" w:color="auto" w:sz="0" w:space="0"/>
        </w:pBdr>
        <w:tabs>
          <w:tab w:val="left" w:pos="960"/>
          <w:tab w:val="left" w:pos="1440"/>
          <w:tab w:val="left" w:pos="3261"/>
          <w:tab w:val="left" w:pos="5670"/>
        </w:tabs>
        <w:spacing w:before="0" w:beforeAutospacing="0" w:after="0" w:afterAutospacing="0" w:line="252" w:lineRule="atLeast"/>
        <w:ind w:left="0" w:right="0"/>
        <w:rPr>
          <w:rFonts w:hint="eastAsia" w:ascii="Times New Roman" w:hAnsi="Times New Roman" w:eastAsia="宋体" w:cs="Times New Roman"/>
          <w:i/>
          <w:kern w:val="0"/>
          <w:sz w:val="24"/>
          <w:szCs w:val="20"/>
          <w:lang w:val="en-US" w:eastAsia="zh-CN" w:bidi="ar-SA"/>
        </w:rPr>
      </w:pPr>
    </w:p>
    <w:p w14:paraId="091E46BF">
      <w:pPr>
        <w:pStyle w:val="7"/>
        <w:keepNext w:val="0"/>
        <w:keepLines w:val="0"/>
        <w:widowControl/>
        <w:suppressLineNumbers w:val="0"/>
        <w:pBdr>
          <w:top w:val="none" w:color="auto" w:sz="0" w:space="0"/>
          <w:left w:val="none" w:color="auto" w:sz="0" w:space="0"/>
          <w:bottom w:val="none" w:color="auto" w:sz="0" w:space="0"/>
          <w:right w:val="none" w:color="auto" w:sz="0" w:space="0"/>
        </w:pBdr>
        <w:tabs>
          <w:tab w:val="left" w:pos="960"/>
          <w:tab w:val="left" w:pos="1440"/>
          <w:tab w:val="left" w:pos="3261"/>
          <w:tab w:val="left" w:pos="5670"/>
        </w:tabs>
        <w:spacing w:before="0" w:beforeAutospacing="0" w:after="0" w:afterAutospacing="0" w:line="252" w:lineRule="atLeast"/>
        <w:ind w:left="0" w:right="0"/>
        <w:rPr>
          <w:rFonts w:hint="eastAsia" w:ascii="Times New Roman" w:hAnsi="Times New Roman" w:eastAsia="宋体" w:cs="Times New Roman"/>
          <w:i/>
          <w:kern w:val="0"/>
          <w:sz w:val="24"/>
          <w:szCs w:val="20"/>
          <w:lang w:val="en-US" w:eastAsia="zh-CN" w:bidi="ar-SA"/>
        </w:rPr>
      </w:pPr>
      <w:r>
        <w:rPr>
          <w:rFonts w:hint="eastAsia" w:eastAsia="宋体" w:cs="Times New Roman"/>
          <w:i/>
          <w:kern w:val="0"/>
          <w:sz w:val="24"/>
          <w:szCs w:val="20"/>
          <w:lang w:val="en-US" w:eastAsia="zh-CN" w:bidi="ar-SA"/>
        </w:rPr>
        <w:tab/>
        <w:t/>
      </w:r>
      <w:r>
        <w:rPr>
          <w:rFonts w:hint="eastAsia" w:eastAsia="宋体" w:cs="Times New Roman"/>
          <w:i/>
          <w:kern w:val="0"/>
          <w:sz w:val="24"/>
          <w:szCs w:val="20"/>
          <w:lang w:val="en-US" w:eastAsia="zh-CN" w:bidi="ar-SA"/>
        </w:rPr>
        <w:tab/>
        <w:t xml:space="preserve">           </w:t>
      </w:r>
      <w:r>
        <w:rPr>
          <w:rFonts w:hint="eastAsia" w:ascii="Times New Roman" w:hAnsi="Times New Roman" w:eastAsia="宋体" w:cs="Times New Roman"/>
          <w:i/>
          <w:kern w:val="0"/>
          <w:sz w:val="24"/>
          <w:szCs w:val="20"/>
          <w:lang w:val="en-US" w:eastAsia="zh-CN" w:bidi="ar-SA"/>
        </w:rPr>
        <w:t xml:space="preserve">z=(points-mean)/standard deviation </w:t>
      </w:r>
    </w:p>
    <w:p w14:paraId="440BED27">
      <w:pPr>
        <w:pStyle w:val="7"/>
        <w:keepNext w:val="0"/>
        <w:keepLines w:val="0"/>
        <w:widowControl/>
        <w:suppressLineNumbers w:val="0"/>
        <w:pBdr>
          <w:top w:val="none" w:color="auto" w:sz="0" w:space="0"/>
          <w:left w:val="none" w:color="auto" w:sz="0" w:space="0"/>
          <w:bottom w:val="none" w:color="auto" w:sz="0" w:space="0"/>
          <w:right w:val="none" w:color="auto" w:sz="0" w:space="0"/>
        </w:pBdr>
        <w:tabs>
          <w:tab w:val="left" w:pos="960"/>
          <w:tab w:val="left" w:pos="1440"/>
          <w:tab w:val="left" w:pos="3261"/>
          <w:tab w:val="left" w:pos="5670"/>
        </w:tabs>
        <w:spacing w:before="0" w:beforeAutospacing="0" w:after="0" w:afterAutospacing="0" w:line="252" w:lineRule="atLeast"/>
        <w:ind w:left="0" w:right="0"/>
        <w:rPr>
          <w:rFonts w:hint="eastAsia" w:ascii="Times New Roman" w:hAnsi="Times New Roman" w:eastAsia="宋体" w:cs="Times New Roman"/>
          <w:i/>
          <w:kern w:val="0"/>
          <w:sz w:val="24"/>
          <w:szCs w:val="20"/>
          <w:lang w:val="en-US" w:eastAsia="zh-CN" w:bidi="ar-SA"/>
        </w:rPr>
      </w:pPr>
    </w:p>
    <w:p w14:paraId="483F5924">
      <w:pPr>
        <w:pStyle w:val="7"/>
        <w:keepNext w:val="0"/>
        <w:keepLines w:val="0"/>
        <w:widowControl/>
        <w:suppressLineNumbers w:val="0"/>
        <w:pBdr>
          <w:top w:val="none" w:color="auto" w:sz="0" w:space="0"/>
          <w:left w:val="none" w:color="auto" w:sz="0" w:space="0"/>
          <w:bottom w:val="none" w:color="auto" w:sz="0" w:space="0"/>
          <w:right w:val="none" w:color="auto" w:sz="0" w:space="0"/>
        </w:pBdr>
        <w:tabs>
          <w:tab w:val="left" w:pos="960"/>
          <w:tab w:val="left" w:pos="1440"/>
          <w:tab w:val="left" w:pos="3261"/>
          <w:tab w:val="left" w:pos="5670"/>
        </w:tabs>
        <w:spacing w:before="0" w:beforeAutospacing="0" w:after="0" w:afterAutospacing="0" w:line="252" w:lineRule="atLeast"/>
        <w:ind w:left="0" w:right="0"/>
        <w:rPr>
          <w:rFonts w:hint="eastAsia" w:ascii="Times New Roman" w:hAnsi="Times New Roman" w:eastAsia="宋体" w:cs="Times New Roman"/>
          <w:i/>
          <w:kern w:val="0"/>
          <w:sz w:val="24"/>
          <w:szCs w:val="20"/>
          <w:lang w:val="en-US" w:eastAsia="zh-CN" w:bidi="ar-SA"/>
        </w:rPr>
      </w:pPr>
      <w:r>
        <w:rPr>
          <w:rFonts w:hint="eastAsia" w:eastAsia="宋体" w:cs="Times New Roman"/>
          <w:i/>
          <w:kern w:val="0"/>
          <w:sz w:val="24"/>
          <w:szCs w:val="20"/>
          <w:lang w:val="en-US" w:eastAsia="zh-CN" w:bidi="ar-SA"/>
        </w:rPr>
        <w:tab/>
      </w:r>
      <w:r>
        <w:rPr>
          <w:rFonts w:hint="eastAsia" w:ascii="Times New Roman" w:hAnsi="Times New Roman" w:eastAsia="宋体" w:cs="Times New Roman"/>
          <w:i/>
          <w:kern w:val="0"/>
          <w:sz w:val="24"/>
          <w:szCs w:val="20"/>
          <w:lang w:val="en-US" w:eastAsia="zh-CN" w:bidi="ar-SA"/>
        </w:rPr>
        <w:t>within each participating team, and then uses the difference in z scores between the two sides to represent their relative strength. This treatment retains the meaning of "relative strength among the participating teams in the current session" and reduces the scale shift caused by institutional breakpoints. However, intra-session standardization may also lose information on the overall competition intensity of different sessions, and the mean and standard deviation are affected by the composition of the participating teams. In the future, the standardized scheme can be compared with the unified scale based on the expected winning rate of Elo.</w:t>
      </w:r>
    </w:p>
    <w:p w14:paraId="68BEBC83">
      <w:pPr>
        <w:pStyle w:val="7"/>
        <w:keepNext w:val="0"/>
        <w:keepLines w:val="0"/>
        <w:widowControl/>
        <w:suppressLineNumbers w:val="0"/>
        <w:pBdr>
          <w:top w:val="none" w:color="auto" w:sz="0" w:space="0"/>
          <w:left w:val="none" w:color="auto" w:sz="0" w:space="0"/>
          <w:bottom w:val="none" w:color="auto" w:sz="0" w:space="0"/>
          <w:right w:val="none" w:color="auto" w:sz="0" w:space="0"/>
        </w:pBdr>
        <w:tabs>
          <w:tab w:val="left" w:pos="960"/>
          <w:tab w:val="left" w:pos="1440"/>
          <w:tab w:val="left" w:pos="3261"/>
          <w:tab w:val="left" w:pos="5670"/>
        </w:tabs>
        <w:spacing w:before="0" w:beforeAutospacing="0" w:after="0" w:afterAutospacing="0" w:line="252" w:lineRule="atLeast"/>
        <w:ind w:left="0" w:right="0"/>
        <w:rPr>
          <w:rFonts w:hint="eastAsia" w:ascii="Times New Roman" w:hAnsi="Times New Roman" w:eastAsia="宋体" w:cs="Times New Roman"/>
          <w:i/>
          <w:kern w:val="0"/>
          <w:sz w:val="24"/>
          <w:szCs w:val="20"/>
          <w:lang w:val="en-US" w:eastAsia="zh-CN" w:bidi="ar-SA"/>
        </w:rPr>
      </w:pPr>
    </w:p>
    <w:p w14:paraId="53CB5771">
      <w:pPr>
        <w:pStyle w:val="7"/>
        <w:keepNext w:val="0"/>
        <w:keepLines w:val="0"/>
        <w:widowControl/>
        <w:suppressLineNumbers w:val="0"/>
        <w:pBdr>
          <w:top w:val="none" w:color="auto" w:sz="0" w:space="0"/>
          <w:left w:val="none" w:color="auto" w:sz="0" w:space="0"/>
          <w:bottom w:val="none" w:color="auto" w:sz="0" w:space="0"/>
          <w:right w:val="none" w:color="auto" w:sz="0" w:space="0"/>
        </w:pBdr>
        <w:tabs>
          <w:tab w:val="left" w:pos="960"/>
          <w:tab w:val="left" w:pos="1440"/>
          <w:tab w:val="left" w:pos="3261"/>
          <w:tab w:val="left" w:pos="5670"/>
        </w:tabs>
        <w:spacing w:before="0" w:beforeAutospacing="0" w:after="0" w:afterAutospacing="0" w:line="252" w:lineRule="atLeast"/>
        <w:ind w:left="0" w:right="0"/>
        <w:rPr>
          <w:rFonts w:hint="default" w:ascii="Times New Roman" w:hAnsi="Times New Roman" w:eastAsia="宋体" w:cs="Times New Roman"/>
          <w:b/>
          <w:bCs/>
          <w:i/>
          <w:kern w:val="0"/>
          <w:sz w:val="24"/>
          <w:szCs w:val="20"/>
          <w:lang w:val="en-US" w:eastAsia="zh-CN" w:bidi="ar-SA"/>
        </w:rPr>
      </w:pPr>
      <w:r>
        <w:rPr>
          <w:rFonts w:hint="eastAsia" w:eastAsia="宋体" w:cs="Times New Roman"/>
          <w:b/>
          <w:bCs/>
          <w:i/>
          <w:kern w:val="0"/>
          <w:sz w:val="24"/>
          <w:szCs w:val="20"/>
          <w:lang w:val="en-US" w:eastAsia="zh-CN" w:bidi="ar-SA"/>
        </w:rPr>
        <w:tab/>
      </w:r>
      <w:r>
        <w:rPr>
          <w:rFonts w:hint="eastAsia" w:ascii="Times New Roman" w:hAnsi="Times New Roman" w:eastAsia="宋体" w:cs="Times New Roman"/>
          <w:b/>
          <w:bCs/>
          <w:i/>
          <w:kern w:val="0"/>
          <w:sz w:val="24"/>
          <w:szCs w:val="20"/>
          <w:lang w:val="en-US" w:eastAsia="zh-CN" w:bidi="ar-SA"/>
        </w:rPr>
        <w:t>3.The rating difference and the probability of winning, drawing or losing</w:t>
      </w:r>
    </w:p>
    <w:p w14:paraId="16A6B6B9">
      <w:pPr>
        <w:pStyle w:val="7"/>
        <w:keepNext w:val="0"/>
        <w:keepLines w:val="0"/>
        <w:widowControl/>
        <w:suppressLineNumbers w:val="0"/>
        <w:pBdr>
          <w:top w:val="none" w:color="auto" w:sz="0" w:space="0"/>
          <w:left w:val="none" w:color="auto" w:sz="0" w:space="0"/>
          <w:bottom w:val="none" w:color="auto" w:sz="0" w:space="0"/>
          <w:right w:val="none" w:color="auto" w:sz="0" w:space="0"/>
        </w:pBdr>
        <w:tabs>
          <w:tab w:val="left" w:pos="960"/>
          <w:tab w:val="left" w:pos="1440"/>
          <w:tab w:val="left" w:pos="3261"/>
          <w:tab w:val="left" w:pos="5670"/>
        </w:tabs>
        <w:spacing w:before="0" w:beforeAutospacing="0" w:after="0" w:afterAutospacing="0" w:line="252" w:lineRule="atLeast"/>
        <w:ind w:left="0" w:right="0"/>
        <w:rPr>
          <w:rFonts w:hint="eastAsia" w:ascii="Times New Roman" w:hAnsi="Times New Roman" w:eastAsia="宋体" w:cs="Times New Roman"/>
          <w:i/>
          <w:kern w:val="0"/>
          <w:sz w:val="24"/>
          <w:szCs w:val="20"/>
          <w:lang w:val="en-US" w:eastAsia="zh-CN" w:bidi="ar-SA"/>
        </w:rPr>
      </w:pPr>
    </w:p>
    <w:p w14:paraId="5C89F42C">
      <w:pPr>
        <w:pStyle w:val="7"/>
        <w:keepNext w:val="0"/>
        <w:keepLines w:val="0"/>
        <w:widowControl/>
        <w:suppressLineNumbers w:val="0"/>
        <w:pBdr>
          <w:top w:val="none" w:color="auto" w:sz="0" w:space="0"/>
          <w:left w:val="none" w:color="auto" w:sz="0" w:space="0"/>
          <w:bottom w:val="none" w:color="auto" w:sz="0" w:space="0"/>
          <w:right w:val="none" w:color="auto" w:sz="0" w:space="0"/>
        </w:pBdr>
        <w:tabs>
          <w:tab w:val="left" w:pos="960"/>
          <w:tab w:val="left" w:pos="1440"/>
          <w:tab w:val="left" w:pos="3261"/>
          <w:tab w:val="left" w:pos="5670"/>
        </w:tabs>
        <w:spacing w:before="0" w:beforeAutospacing="0" w:after="0" w:afterAutospacing="0" w:line="252" w:lineRule="atLeast"/>
        <w:ind w:left="0" w:right="0"/>
        <w:rPr>
          <w:rFonts w:hint="eastAsia" w:ascii="Times New Roman" w:hAnsi="Times New Roman" w:eastAsia="宋体" w:cs="Times New Roman"/>
          <w:i/>
          <w:kern w:val="0"/>
          <w:sz w:val="24"/>
          <w:szCs w:val="20"/>
          <w:lang w:val="en-US" w:eastAsia="zh-CN" w:bidi="ar-SA"/>
        </w:rPr>
      </w:pPr>
      <w:r>
        <w:rPr>
          <w:rFonts w:hint="eastAsia" w:eastAsia="宋体" w:cs="Times New Roman"/>
          <w:i/>
          <w:kern w:val="0"/>
          <w:sz w:val="24"/>
          <w:szCs w:val="20"/>
          <w:lang w:val="en-US" w:eastAsia="zh-CN" w:bidi="ar-SA"/>
        </w:rPr>
        <w:tab/>
        <w:t xml:space="preserve">  </w:t>
      </w:r>
      <w:r>
        <w:rPr>
          <w:rFonts w:hint="eastAsia" w:ascii="Times New Roman" w:hAnsi="Times New Roman" w:eastAsia="宋体" w:cs="Times New Roman"/>
          <w:i/>
          <w:kern w:val="0"/>
          <w:sz w:val="24"/>
          <w:szCs w:val="20"/>
          <w:lang w:val="en-US" w:eastAsia="zh-CN" w:bidi="ar-SA"/>
        </w:rPr>
        <w:t>The rating system itself only provides the relative strength of teams and must go through probability mapping to support risk assessment and fair odds calculation. Buchdahl [5] constructed the home and away team rating differences based on the recent goal difference, and then fitted the probabilities of home wins, draws, and away wins using historical frequencies. The fair odds were calculated by multiplying the odds by the reciprocal of the probabilities. This practical data clearly demonstrates the complete chain of "historical performance - poor strength - three-category probability - fair odds", and also emphasizes that judging the most likely outcome is not the same task as finding betting opportunities with positive expectations.</w:t>
      </w:r>
    </w:p>
    <w:p w14:paraId="6D47AA3F">
      <w:pPr>
        <w:pStyle w:val="7"/>
        <w:keepNext w:val="0"/>
        <w:keepLines w:val="0"/>
        <w:widowControl/>
        <w:suppressLineNumbers w:val="0"/>
        <w:pBdr>
          <w:top w:val="none" w:color="auto" w:sz="0" w:space="0"/>
          <w:left w:val="none" w:color="auto" w:sz="0" w:space="0"/>
          <w:bottom w:val="none" w:color="auto" w:sz="0" w:space="0"/>
          <w:right w:val="none" w:color="auto" w:sz="0" w:space="0"/>
        </w:pBdr>
        <w:tabs>
          <w:tab w:val="left" w:pos="960"/>
          <w:tab w:val="left" w:pos="1440"/>
          <w:tab w:val="left" w:pos="3261"/>
          <w:tab w:val="left" w:pos="5670"/>
        </w:tabs>
        <w:spacing w:before="0" w:beforeAutospacing="0" w:after="0" w:afterAutospacing="0" w:line="252" w:lineRule="atLeast"/>
        <w:ind w:left="0" w:right="0"/>
        <w:rPr>
          <w:rFonts w:hint="default" w:ascii="Times New Roman" w:hAnsi="Times New Roman" w:eastAsia="宋体" w:cs="Times New Roman"/>
          <w:i/>
          <w:kern w:val="0"/>
          <w:sz w:val="24"/>
          <w:szCs w:val="20"/>
          <w:lang w:val="en-US" w:eastAsia="zh-CN" w:bidi="ar-SA"/>
        </w:rPr>
      </w:pPr>
    </w:p>
    <w:p w14:paraId="32854280">
      <w:pPr>
        <w:pStyle w:val="7"/>
        <w:keepNext w:val="0"/>
        <w:keepLines w:val="0"/>
        <w:widowControl/>
        <w:suppressLineNumbers w:val="0"/>
        <w:pBdr>
          <w:top w:val="none" w:color="auto" w:sz="0" w:space="0"/>
          <w:left w:val="none" w:color="auto" w:sz="0" w:space="0"/>
          <w:bottom w:val="none" w:color="auto" w:sz="0" w:space="0"/>
          <w:right w:val="none" w:color="auto" w:sz="0" w:space="0"/>
        </w:pBdr>
        <w:tabs>
          <w:tab w:val="left" w:pos="960"/>
          <w:tab w:val="left" w:pos="1440"/>
          <w:tab w:val="left" w:pos="3261"/>
          <w:tab w:val="left" w:pos="5670"/>
        </w:tabs>
        <w:spacing w:before="0" w:beforeAutospacing="0" w:after="0" w:afterAutospacing="0" w:line="252" w:lineRule="atLeast"/>
        <w:ind w:left="0" w:right="0"/>
        <w:rPr>
          <w:rFonts w:hint="eastAsia" w:ascii="Times New Roman" w:hAnsi="Times New Roman" w:eastAsia="宋体" w:cs="Times New Roman"/>
          <w:i/>
          <w:kern w:val="0"/>
          <w:sz w:val="24"/>
          <w:szCs w:val="20"/>
          <w:lang w:val="en-US" w:eastAsia="zh-CN" w:bidi="ar-SA"/>
        </w:rPr>
      </w:pPr>
      <w:r>
        <w:rPr>
          <w:rFonts w:hint="eastAsia" w:eastAsia="宋体" w:cs="Times New Roman"/>
          <w:i/>
          <w:kern w:val="0"/>
          <w:sz w:val="24"/>
          <w:szCs w:val="20"/>
          <w:lang w:val="en-US" w:eastAsia="zh-CN" w:bidi="ar-SA"/>
        </w:rPr>
        <w:tab/>
        <w:t xml:space="preserve">  </w:t>
      </w:r>
      <w:r>
        <w:rPr>
          <w:rFonts w:hint="eastAsia" w:ascii="Times New Roman" w:hAnsi="Times New Roman" w:eastAsia="宋体" w:cs="Times New Roman"/>
          <w:i/>
          <w:kern w:val="0"/>
          <w:sz w:val="24"/>
          <w:szCs w:val="20"/>
          <w:lang w:val="en-US" w:eastAsia="zh-CN" w:bidi="ar-SA"/>
        </w:rPr>
        <w:t>Th</w:t>
      </w:r>
      <w:r>
        <w:rPr>
          <w:rFonts w:hint="default" w:ascii="Times New Roman" w:hAnsi="Times New Roman" w:eastAsia="宋体" w:cs="Times New Roman"/>
          <w:i/>
          <w:kern w:val="0"/>
          <w:sz w:val="24"/>
          <w:szCs w:val="20"/>
          <w:lang w:val="en-US" w:eastAsia="zh-CN" w:bidi="ar-SA"/>
        </w:rPr>
        <w:t>e current demo uses multiple Softmax regressions to complete the same probability mapping. Let the eigenvectors include the standardized ranking difference within the tournament, the advantage of the host country, and the indicator variable of the knockout stage. The model simultaneously outputs P(H), P(D), and P(A). The advantage of Softmax is that the three types of probabilities are naturally positive and the sum is 1, the coefficients are easy to interpret, and it is suitable for small-sample baseline studies. The project also performs mirror data augmentation on the home and away teams: when swapping the two sides, it reverses the power difference and the home variable, and swaps the labels of home win and away win, thereby explicitly constraining the symmetry of the model. Compared with looking up tables by rating intervals, this method can smoothly utilize continuous intensity differences. Compared with high-capacity algorithms, it is less likely to produce imperceptible overfitting on samples from only three World Cups.</w:t>
      </w:r>
    </w:p>
    <w:p w14:paraId="5782AB05">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52" w:lineRule="atLeast"/>
        <w:ind w:left="0" w:right="0"/>
        <w:rPr>
          <w:rFonts w:hint="eastAsia" w:ascii="Times New Roman" w:hAnsi="Times New Roman" w:eastAsia="宋体" w:cs="Times New Roman"/>
          <w:i/>
          <w:kern w:val="0"/>
          <w:sz w:val="24"/>
          <w:szCs w:val="20"/>
          <w:lang w:val="en-US" w:eastAsia="zh-CN" w:bidi="ar-SA"/>
        </w:rPr>
      </w:pPr>
    </w:p>
    <w:p w14:paraId="1D975794">
      <w:pPr>
        <w:pStyle w:val="7"/>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line="252" w:lineRule="atLeast"/>
        <w:ind w:left="0" w:leftChars="0" w:right="0" w:firstLine="0" w:firstLineChars="0"/>
        <w:rPr>
          <w:rFonts w:hint="default" w:ascii="Segoe UI" w:hAnsi="Segoe UI" w:eastAsia="Segoe UI" w:cs="Segoe UI"/>
          <w:i w:val="0"/>
          <w:iCs w:val="0"/>
          <w:caps w:val="0"/>
          <w:color w:val="2A2B2E"/>
          <w:spacing w:val="0"/>
          <w:sz w:val="16"/>
          <w:szCs w:val="16"/>
          <w:shd w:val="clear" w:fill="FFFFFF"/>
        </w:rPr>
      </w:pPr>
      <w:r>
        <w:rPr>
          <w:rFonts w:hint="eastAsia" w:ascii="Times New Roman" w:hAnsi="Times New Roman" w:eastAsia="宋体" w:cs="Times New Roman"/>
          <w:b/>
          <w:bCs/>
          <w:i/>
          <w:kern w:val="0"/>
          <w:sz w:val="24"/>
          <w:szCs w:val="20"/>
          <w:lang w:val="en-US" w:eastAsia="zh-CN" w:bidi="ar-SA"/>
        </w:rPr>
        <w:t>Gambling Market: Strong Benchmarks, Information Sources and Boundaries</w:t>
      </w:r>
      <w:r>
        <w:rPr>
          <w:rFonts w:hint="default" w:ascii="Segoe UI" w:hAnsi="Segoe UI" w:eastAsia="Segoe UI" w:cs="Segoe UI"/>
          <w:i w:val="0"/>
          <w:iCs w:val="0"/>
          <w:caps w:val="0"/>
          <w:color w:val="2A2B2E"/>
          <w:spacing w:val="0"/>
          <w:sz w:val="16"/>
          <w:szCs w:val="16"/>
          <w:shd w:val="clear" w:fill="FFFFFF"/>
        </w:rPr>
        <w:br w:type="textWrapping"/>
      </w:r>
    </w:p>
    <w:p w14:paraId="5EA86B26">
      <w:pPr>
        <w:pStyle w:val="7"/>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960"/>
          <w:tab w:val="left" w:pos="1440"/>
          <w:tab w:val="left" w:pos="3261"/>
          <w:tab w:val="left" w:pos="5670"/>
        </w:tabs>
        <w:spacing w:before="0" w:beforeAutospacing="0" w:after="0" w:afterAutospacing="0" w:line="252" w:lineRule="atLeast"/>
        <w:ind w:leftChars="0" w:right="0" w:rightChars="0" w:firstLine="480" w:firstLineChars="200"/>
        <w:rPr>
          <w:rFonts w:hint="default" w:ascii="Times New Roman" w:hAnsi="Times New Roman" w:eastAsia="宋体" w:cs="Times New Roman"/>
          <w:i/>
          <w:kern w:val="0"/>
          <w:sz w:val="24"/>
          <w:szCs w:val="20"/>
          <w:lang w:val="en-US" w:eastAsia="zh-CN" w:bidi="ar-SA"/>
        </w:rPr>
      </w:pPr>
      <w:r>
        <w:rPr>
          <w:rFonts w:hint="default" w:ascii="Times New Roman" w:hAnsi="Times New Roman" w:eastAsia="宋体" w:cs="Times New Roman"/>
          <w:i/>
          <w:kern w:val="0"/>
          <w:sz w:val="24"/>
          <w:szCs w:val="20"/>
          <w:lang w:val="en-US" w:eastAsia="zh-CN" w:bidi="ar-SA"/>
        </w:rPr>
        <w:t>B</w:t>
      </w:r>
      <w:r>
        <w:rPr>
          <w:rFonts w:hint="default" w:ascii="Times New Roman" w:hAnsi="Times New Roman" w:eastAsia="宋体" w:cs="Times New Roman"/>
          <w:i/>
          <w:kern w:val="0"/>
          <w:sz w:val="24"/>
          <w:szCs w:val="20"/>
          <w:lang w:val="en-US" w:eastAsia="zh-CN" w:bidi="ar-SA"/>
        </w:rPr>
        <w:t xml:space="preserve">etting odds, which integrate team news, public judgment and trading behavior, are often regarded as high-quality probability predictions. However, the sum of the reciprocals of the decimal odds is usually greater than 1, and this part of the excess probability is the gambling company's profit or overround. If the reciprocal of the odds is directly regarded as the true probability, it will systematically overestimate all the outcome probabilities. Therefore, the current demo adopts the normalization method </w:t>
      </w:r>
    </w:p>
    <w:p w14:paraId="7C18C31D">
      <w:pPr>
        <w:pStyle w:val="7"/>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960"/>
          <w:tab w:val="left" w:pos="1440"/>
          <w:tab w:val="left" w:pos="3261"/>
          <w:tab w:val="left" w:pos="5670"/>
        </w:tabs>
        <w:spacing w:before="0" w:beforeAutospacing="0" w:after="0" w:afterAutospacing="0" w:line="252" w:lineRule="atLeast"/>
        <w:ind w:leftChars="0" w:right="0" w:rightChars="0" w:firstLine="480" w:firstLineChars="200"/>
        <w:rPr>
          <w:rFonts w:hint="default" w:ascii="Times New Roman" w:hAnsi="Times New Roman" w:eastAsia="宋体" w:cs="Times New Roman"/>
          <w:i/>
          <w:kern w:val="0"/>
          <w:sz w:val="24"/>
          <w:szCs w:val="20"/>
          <w:lang w:val="en-US" w:eastAsia="zh-CN" w:bidi="ar-SA"/>
        </w:rPr>
      </w:pPr>
      <w:r>
        <w:rPr>
          <w:rFonts w:hint="eastAsia" w:eastAsia="宋体" w:cs="Times New Roman"/>
          <w:i/>
          <w:kern w:val="0"/>
          <w:sz w:val="24"/>
          <w:szCs w:val="20"/>
          <w:lang w:val="en-US" w:eastAsia="zh-CN" w:bidi="ar-SA"/>
        </w:rPr>
        <w:tab/>
        <w:t/>
      </w:r>
      <w:r>
        <w:rPr>
          <w:rFonts w:hint="eastAsia" w:eastAsia="宋体" w:cs="Times New Roman"/>
          <w:i/>
          <w:kern w:val="0"/>
          <w:sz w:val="24"/>
          <w:szCs w:val="20"/>
          <w:lang w:val="en-US" w:eastAsia="zh-CN" w:bidi="ar-SA"/>
        </w:rPr>
        <w:tab/>
        <w:t/>
      </w:r>
      <w:r>
        <w:rPr>
          <w:rFonts w:hint="eastAsia" w:eastAsia="宋体" w:cs="Times New Roman"/>
          <w:i/>
          <w:kern w:val="0"/>
          <w:sz w:val="24"/>
          <w:szCs w:val="20"/>
          <w:lang w:val="en-US" w:eastAsia="zh-CN" w:bidi="ar-SA"/>
        </w:rPr>
        <w:tab/>
      </w:r>
      <w:r>
        <w:rPr>
          <w:rFonts w:hint="default" w:ascii="Times New Roman" w:hAnsi="Times New Roman" w:eastAsia="宋体" w:cs="Times New Roman"/>
          <w:i/>
          <w:kern w:val="0"/>
          <w:sz w:val="24"/>
          <w:szCs w:val="20"/>
          <w:lang w:val="en-US" w:eastAsia="zh-CN" w:bidi="ar-SA"/>
        </w:rPr>
        <w:t xml:space="preserve">q_i=(1/o_i)/sum_j(1/o_j) </w:t>
      </w:r>
    </w:p>
    <w:p w14:paraId="4BBF48C4">
      <w:pPr>
        <w:pStyle w:val="7"/>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960"/>
          <w:tab w:val="left" w:pos="1440"/>
          <w:tab w:val="left" w:pos="3261"/>
          <w:tab w:val="left" w:pos="5670"/>
        </w:tabs>
        <w:spacing w:before="0" w:beforeAutospacing="0" w:after="0" w:afterAutospacing="0" w:line="252" w:lineRule="atLeast"/>
        <w:ind w:right="0" w:rightChars="0"/>
        <w:rPr>
          <w:rFonts w:hint="default" w:ascii="Times New Roman" w:hAnsi="Times New Roman" w:eastAsia="宋体" w:cs="Times New Roman"/>
          <w:i/>
          <w:kern w:val="0"/>
          <w:sz w:val="24"/>
          <w:szCs w:val="20"/>
          <w:lang w:val="en-US" w:eastAsia="zh-CN" w:bidi="ar-SA"/>
        </w:rPr>
      </w:pPr>
      <w:r>
        <w:rPr>
          <w:rFonts w:hint="default" w:ascii="Times New Roman" w:hAnsi="Times New Roman" w:eastAsia="宋体" w:cs="Times New Roman"/>
          <w:i/>
          <w:kern w:val="0"/>
          <w:sz w:val="24"/>
          <w:szCs w:val="20"/>
          <w:lang w:val="en-US" w:eastAsia="zh-CN" w:bidi="ar-SA"/>
        </w:rPr>
        <w:t>to remove excess profits, and then takes q_H, q_D, and q_A as historical market probabilities.</w:t>
      </w:r>
      <w:r>
        <w:rPr>
          <w:rFonts w:hint="default" w:ascii="Times New Roman" w:hAnsi="Times New Roman" w:eastAsia="宋体" w:cs="Times New Roman"/>
          <w:i/>
          <w:kern w:val="0"/>
          <w:sz w:val="24"/>
          <w:szCs w:val="20"/>
          <w:lang w:val="en-US" w:eastAsia="zh-CN" w:bidi="ar-SA"/>
        </w:rPr>
        <w:br w:type="textWrapping"/>
      </w:r>
    </w:p>
    <w:p w14:paraId="6D65DFCF">
      <w:pPr>
        <w:pStyle w:val="7"/>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960"/>
          <w:tab w:val="left" w:pos="1440"/>
          <w:tab w:val="left" w:pos="3261"/>
          <w:tab w:val="left" w:pos="5670"/>
        </w:tabs>
        <w:spacing w:before="0" w:beforeAutospacing="0" w:after="0" w:afterAutospacing="0" w:line="252" w:lineRule="atLeast"/>
        <w:ind w:right="0" w:rightChars="0" w:firstLine="480" w:firstLineChars="200"/>
        <w:rPr>
          <w:rFonts w:hint="default" w:ascii="Times New Roman" w:hAnsi="Times New Roman" w:eastAsia="宋体" w:cs="Times New Roman"/>
          <w:i/>
          <w:kern w:val="0"/>
          <w:sz w:val="24"/>
          <w:szCs w:val="20"/>
          <w:lang w:val="en-US" w:eastAsia="zh-CN" w:bidi="ar-SA"/>
        </w:rPr>
      </w:pPr>
      <w:r>
        <w:rPr>
          <w:rFonts w:hint="default" w:ascii="Times New Roman" w:hAnsi="Times New Roman" w:eastAsia="宋体" w:cs="Times New Roman"/>
          <w:i/>
          <w:kern w:val="0"/>
          <w:sz w:val="24"/>
          <w:szCs w:val="20"/>
          <w:lang w:val="en-US" w:eastAsia="zh-CN" w:bidi="ar-SA"/>
        </w:rPr>
        <w:t>Reade, Singleton and Vaughan Williams [4] used the 2016-2017 and 2017-2018 Premier League seasons to compare the standard statistical score model with the odds of bookmakers. The research finds that there is a significant hot-unpopular bias in the precise score odds, and the model has some advantages in score probability prediction. However, at the level of competition results, both types of predictions were generally effective, and the simple betting strategy based on model point prediction did not generate stable and substantial positive returns. The most crucial revelation of this study is that probability prediction quality, classification hit rate and bet return are three different evaluation dimensions. Even if the model is slightly superior in statistical scoring, it may not be sufficient to cover odds profit, estimation error and sample volatility.</w:t>
      </w:r>
    </w:p>
    <w:p w14:paraId="36E8F8C6">
      <w:pPr>
        <w:pStyle w:val="7"/>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960"/>
          <w:tab w:val="left" w:pos="1440"/>
          <w:tab w:val="left" w:pos="3261"/>
          <w:tab w:val="left" w:pos="5670"/>
        </w:tabs>
        <w:spacing w:before="0" w:beforeAutospacing="0" w:after="0" w:afterAutospacing="0" w:line="252" w:lineRule="atLeast"/>
        <w:ind w:right="0" w:rightChars="0"/>
        <w:rPr>
          <w:rFonts w:hint="default" w:ascii="Times New Roman" w:hAnsi="Times New Roman" w:eastAsia="宋体" w:cs="Times New Roman"/>
          <w:i/>
          <w:kern w:val="0"/>
          <w:sz w:val="24"/>
          <w:szCs w:val="20"/>
          <w:lang w:val="en-US" w:eastAsia="zh-CN" w:bidi="ar-SA"/>
        </w:rPr>
      </w:pPr>
    </w:p>
    <w:p w14:paraId="5FC04C04">
      <w:pPr>
        <w:pStyle w:val="7"/>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960"/>
          <w:tab w:val="left" w:pos="1440"/>
          <w:tab w:val="left" w:pos="3261"/>
          <w:tab w:val="left" w:pos="5670"/>
        </w:tabs>
        <w:spacing w:before="0" w:beforeAutospacing="0" w:after="0" w:afterAutospacing="0" w:line="252" w:lineRule="atLeast"/>
        <w:ind w:right="0" w:rightChars="0" w:firstLine="480" w:firstLineChars="200"/>
        <w:rPr>
          <w:rFonts w:hint="eastAsia" w:ascii="Times New Roman" w:hAnsi="Times New Roman" w:eastAsia="宋体" w:cs="Times New Roman"/>
          <w:i/>
          <w:kern w:val="0"/>
          <w:sz w:val="24"/>
          <w:szCs w:val="20"/>
          <w:lang w:val="en-US" w:eastAsia="zh-CN" w:bidi="ar-SA"/>
        </w:rPr>
      </w:pPr>
      <w:r>
        <w:rPr>
          <w:rFonts w:hint="default" w:ascii="Times New Roman" w:hAnsi="Times New Roman" w:eastAsia="宋体" w:cs="Times New Roman"/>
          <w:i/>
          <w:kern w:val="0"/>
          <w:sz w:val="24"/>
          <w:szCs w:val="20"/>
          <w:lang w:val="en-US" w:eastAsia="zh-CN" w:bidi="ar-SA"/>
        </w:rPr>
        <w:t>The current project does not take the real 2026 odds as a mandatory input. Instead, it uses the mapping of "ranking features to de-profit market probabilities" from historical World Cups to train the market agent model and fuses it with the match result model at a 50/50 ratio. This design enables the model to generate market-style benchmark probabilities even when there are no future odds, while maintaining the reproducibility of the ranking model. The limitation is also very clear: market agents can only learn about the least possible probabilities in gambling</w:t>
      </w:r>
    </w:p>
    <w:p w14:paraId="5731CC61">
      <w:pPr>
        <w:tabs>
          <w:tab w:val="left" w:pos="567"/>
          <w:tab w:val="clear" w:pos="960"/>
        </w:tabs>
        <w:ind w:left="0" w:leftChars="0" w:firstLine="0" w:firstLineChars="0"/>
        <w:rPr>
          <w:rFonts w:eastAsia="宋体"/>
          <w:sz w:val="24"/>
          <w:lang w:eastAsia="zh-CN"/>
        </w:rPr>
      </w:pPr>
    </w:p>
    <w:p w14:paraId="2C7A8D64">
      <w:pPr>
        <w:pStyle w:val="2"/>
      </w:pPr>
      <w:bookmarkStart w:id="4" w:name="_Toc422231962"/>
      <w:bookmarkStart w:id="5" w:name="_Toc136265751"/>
      <w:r>
        <w:rPr>
          <w:rFonts w:hint="eastAsia"/>
        </w:rPr>
        <w:t>Project Outline</w:t>
      </w:r>
      <w:bookmarkEnd w:id="4"/>
      <w:bookmarkEnd w:id="5"/>
    </w:p>
    <w:p w14:paraId="2C4918B2">
      <w:pPr>
        <w:ind w:left="0" w:leftChars="0" w:firstLine="480" w:firstLineChars="200"/>
        <w:rPr>
          <w:rFonts w:hint="default" w:ascii="Times New Roman" w:hAnsi="Times New Roman" w:eastAsia="宋体" w:cs="Times New Roman"/>
          <w:i/>
          <w:kern w:val="0"/>
          <w:sz w:val="24"/>
          <w:szCs w:val="20"/>
          <w:lang w:val="en-US" w:eastAsia="zh-CN" w:bidi="ar-SA"/>
        </w:rPr>
      </w:pPr>
      <w:r>
        <w:rPr>
          <w:rFonts w:hint="default" w:ascii="Times New Roman" w:hAnsi="Times New Roman" w:eastAsia="宋体" w:cs="Times New Roman"/>
          <w:i/>
          <w:kern w:val="0"/>
          <w:sz w:val="24"/>
          <w:szCs w:val="20"/>
          <w:lang w:val="en-US" w:eastAsia="zh-CN" w:bidi="ar-SA"/>
        </w:rPr>
        <w:t>The current demo provides a conservative and reproducible starting point for these issues: alleviating cross-institutional scale problems with intra-session Z-scores; Directly output the probabilities of winning, drawing and losing using multiple Softmax. Add host and knockout variables; Use cross-year retention verification; At the same time, four baselines, namely the pure competition result model, market agency, fixed integration and actual market, are retained. And support the update of points after real matches according to the FIFA SUM formula.</w:t>
      </w:r>
    </w:p>
    <w:p w14:paraId="5B6F3278">
      <w:pPr>
        <w:ind w:hanging="540"/>
        <w:rPr>
          <w:rFonts w:hint="default" w:ascii="Times New Roman" w:hAnsi="Times New Roman" w:eastAsia="宋体" w:cs="Times New Roman"/>
          <w:i/>
          <w:kern w:val="0"/>
          <w:sz w:val="24"/>
          <w:szCs w:val="20"/>
          <w:lang w:val="en-US" w:eastAsia="zh-CN" w:bidi="ar-SA"/>
        </w:rPr>
      </w:pPr>
    </w:p>
    <w:p w14:paraId="20AAEED1">
      <w:pPr>
        <w:ind w:left="0" w:leftChars="0" w:firstLine="480" w:firstLineChars="200"/>
        <w:rPr>
          <w:rFonts w:hint="default" w:ascii="Times New Roman" w:hAnsi="Times New Roman" w:eastAsia="宋体" w:cs="Times New Roman"/>
          <w:i/>
          <w:kern w:val="0"/>
          <w:sz w:val="24"/>
          <w:szCs w:val="20"/>
          <w:lang w:val="en-US" w:eastAsia="zh-CN" w:bidi="ar-SA"/>
        </w:rPr>
      </w:pPr>
      <w:r>
        <w:rPr>
          <w:rFonts w:hint="eastAsia" w:ascii="Times New Roman" w:hAnsi="Times New Roman" w:eastAsia="宋体" w:cs="Times New Roman"/>
          <w:i/>
          <w:kern w:val="0"/>
          <w:sz w:val="24"/>
          <w:szCs w:val="20"/>
          <w:lang w:val="en-US" w:eastAsia="zh-CN" w:bidi="ar-SA"/>
        </w:rPr>
        <w:t>Establish a transparent baseline framework for the World Cup to study whether cross-tournament ranking standardization, probability output, historical market agency and dynamic updates within the event can form stable and explainable predictions under small sample conditions. This positioning is consistent with the recurring conclusion in the literature that simple public indicators have true predictive power, but their capability boundaries must be defined through strict out-of-sample probability scoring.</w:t>
      </w:r>
    </w:p>
    <w:p w14:paraId="4967393C">
      <w:pPr>
        <w:pStyle w:val="2"/>
        <w:numPr>
          <w:ilvl w:val="0"/>
          <w:numId w:val="0"/>
        </w:numPr>
        <w:ind w:left="-4" w:leftChars="-2" w:firstLine="3" w:firstLineChars="1"/>
        <w:rPr>
          <w:rFonts w:ascii="Times New Roman" w:hAnsi="Times New Roman" w:eastAsia="宋体"/>
          <w:i/>
          <w:sz w:val="24"/>
          <w:szCs w:val="24"/>
        </w:rPr>
      </w:pPr>
      <w:bookmarkStart w:id="6" w:name="_Toc136265752"/>
      <w:bookmarkStart w:id="7" w:name="_Toc422231963"/>
      <w:r>
        <w:rPr>
          <w:rFonts w:hint="eastAsia"/>
        </w:rPr>
        <w:t>References</w:t>
      </w:r>
      <w:bookmarkEnd w:id="6"/>
      <w:bookmarkEnd w:id="7"/>
    </w:p>
    <w:p w14:paraId="47417F4A">
      <w:pPr>
        <w:spacing w:after="100" w:line="276" w:lineRule="auto"/>
        <w:ind w:left="420" w:hanging="420"/>
      </w:pPr>
      <w:r>
        <w:rPr>
          <w:rFonts w:ascii="Times New Roman" w:hAnsi="Times New Roman" w:eastAsia="宋体"/>
          <w:color w:val="000000"/>
          <w:sz w:val="20"/>
        </w:rPr>
        <w:t>[1] Suzuki, K., &amp; Ohmori, K. (2008). Effectiveness of FIFA/Coca-Cola World Ranking in predicting the results of FIFA World Cup finals. Football Science, 5, 18–25.</w:t>
      </w:r>
    </w:p>
    <w:p w14:paraId="7A307E45">
      <w:pPr>
        <w:spacing w:after="100" w:line="276" w:lineRule="auto"/>
        <w:ind w:left="420" w:hanging="420"/>
      </w:pPr>
      <w:r>
        <w:rPr>
          <w:rFonts w:ascii="Times New Roman" w:hAnsi="Times New Roman" w:eastAsia="宋体"/>
          <w:color w:val="000000"/>
          <w:sz w:val="20"/>
        </w:rPr>
        <w:t>[2] Wunderlich, F., &amp; Memmert, D. (2016). Analysis of the predictive qualities of betting odds and FIFA World Ranking: Evidence from the 2006, 2010 and 2014 Football World Cups. Journal of Sports Sciences. https://doi.org/10.1080/02640414.2016.1218040</w:t>
      </w:r>
    </w:p>
    <w:p w14:paraId="5505DC3A">
      <w:pPr>
        <w:spacing w:after="100" w:line="276" w:lineRule="auto"/>
        <w:ind w:left="420" w:hanging="420"/>
      </w:pPr>
      <w:r>
        <w:rPr>
          <w:rFonts w:ascii="Times New Roman" w:hAnsi="Times New Roman" w:eastAsia="宋体"/>
          <w:color w:val="000000"/>
          <w:sz w:val="20"/>
        </w:rPr>
        <w:t>[3] Loukas, K., Karapiperis, D., Feretzakis, G., &amp; Verykios, V. S. (2024). Predicting football match results using a Poisson regression model. Applied Sciences, 14(16), 7230. https://doi.org/10.3390/app14167230</w:t>
      </w:r>
    </w:p>
    <w:p w14:paraId="1A6917D1">
      <w:pPr>
        <w:spacing w:after="100" w:line="276" w:lineRule="auto"/>
        <w:ind w:left="420" w:hanging="420"/>
      </w:pPr>
      <w:r>
        <w:rPr>
          <w:rFonts w:ascii="Times New Roman" w:hAnsi="Times New Roman" w:eastAsia="宋体"/>
          <w:color w:val="000000"/>
          <w:sz w:val="20"/>
        </w:rPr>
        <w:t>[4] Reade, J. J., Singleton, C., &amp; Vaughan Williams, L. (2020). Betting markets for English Premier League results and scorelines: Evaluating a forecasting model. Economic Issues.</w:t>
      </w:r>
    </w:p>
    <w:p w14:paraId="1A322FCB">
      <w:pPr>
        <w:spacing w:after="100" w:line="276" w:lineRule="auto"/>
        <w:ind w:left="420" w:hanging="420"/>
      </w:pPr>
      <w:r>
        <w:rPr>
          <w:rFonts w:ascii="Times New Roman" w:hAnsi="Times New Roman" w:eastAsia="宋体"/>
          <w:color w:val="000000"/>
          <w:sz w:val="20"/>
        </w:rPr>
        <w:t>[5] Buchdahl, J. (2003). Rating systems for fixed odds football match prediction. Football-Data.</w:t>
      </w:r>
    </w:p>
    <w:p w14:paraId="6412D8E2">
      <w:pPr>
        <w:spacing w:after="100" w:line="276" w:lineRule="auto"/>
        <w:ind w:left="420" w:hanging="420"/>
        <w:rPr>
          <w:rFonts w:ascii="Times New Roman" w:hAnsi="Times New Roman" w:eastAsia="宋体"/>
          <w:sz w:val="24"/>
          <w:szCs w:val="24"/>
        </w:rPr>
      </w:pPr>
      <w:r>
        <w:rPr>
          <w:rFonts w:ascii="Times New Roman" w:hAnsi="Times New Roman" w:eastAsia="宋体"/>
          <w:color w:val="000000"/>
          <w:sz w:val="20"/>
        </w:rPr>
        <w:t>[6] Fédération Internationale de Football Association. (2018). Revision of the FIFA/Coca-Cola World Ranking: Overview.</w:t>
      </w:r>
    </w:p>
    <w:sectPr>
      <w:footerReference r:id="rId5" w:type="default"/>
      <w:pgSz w:w="11906" w:h="16838"/>
      <w:pgMar w:top="1440" w:right="1800" w:bottom="1440" w:left="1800" w:header="720" w:footer="720" w:gutter="0"/>
      <w:cols w:space="720" w:num="1"/>
      <w:titlePg/>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ngLiU">
    <w:altName w:val="PMingLiU-ExtB"/>
    <w:panose1 w:val="02010609000101010101"/>
    <w:charset w:val="88"/>
    <w:family w:val="modern"/>
    <w:pitch w:val="default"/>
    <w:sig w:usb0="00000000" w:usb1="00000000" w:usb2="00000016" w:usb3="00000000" w:csb0="00100001" w:csb1="00000000"/>
  </w:font>
  <w:font w:name="PMingLiU-ExtB">
    <w:panose1 w:val="02020500000000000000"/>
    <w:charset w:val="88"/>
    <w:family w:val="auto"/>
    <w:pitch w:val="default"/>
    <w:sig w:usb0="8000002F" w:usb1="02000008" w:usb2="00000000" w:usb3="00000000" w:csb0="00100001" w:csb1="00000000"/>
  </w:font>
  <w:font w:name="Cambria">
    <w:panose1 w:val="02040503050406030204"/>
    <w:charset w:val="00"/>
    <w:family w:val="roman"/>
    <w:pitch w:val="default"/>
    <w:sig w:usb0="E00006FF" w:usb1="420024FF" w:usb2="02000000" w:usb3="00000000" w:csb0="2000019F" w:csb1="00000000"/>
  </w:font>
  <w:font w:name="Univers (WN)">
    <w:altName w:val="Arial"/>
    <w:panose1 w:val="00000000000000000000"/>
    <w:charset w:val="00"/>
    <w:family w:val="swiss"/>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Cambria Math">
    <w:panose1 w:val="02040503050406030204"/>
    <w:charset w:val="00"/>
    <w:family w:val="auto"/>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893857799"/>
      <w:docPartObj>
        <w:docPartGallery w:val="autotext"/>
      </w:docPartObj>
    </w:sdtPr>
    <w:sdtContent>
      <w:p w14:paraId="7418A204">
        <w:pPr>
          <w:pStyle w:val="4"/>
          <w:jc w:val="right"/>
        </w:pPr>
        <w:r>
          <w:fldChar w:fldCharType="begin"/>
        </w:r>
        <w:r>
          <w:instrText xml:space="preserve"> PAGE   \* MERGEFORMAT </w:instrText>
        </w:r>
        <w:r>
          <w:fldChar w:fldCharType="separate"/>
        </w:r>
        <w:r>
          <w:t>2</w:t>
        </w:r>
        <w:r>
          <w:fldChar w:fldCharType="end"/>
        </w:r>
      </w:p>
    </w:sdtContent>
  </w:sdt>
  <w:p w14:paraId="700C5B00">
    <w:pPr>
      <w:pStyle w:val="4"/>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02FEF78"/>
    <w:multiLevelType w:val="singleLevel"/>
    <w:tmpl w:val="B02FEF78"/>
    <w:lvl w:ilvl="0" w:tentative="0">
      <w:start w:val="4"/>
      <w:numFmt w:val="decimal"/>
      <w:suff w:val="space"/>
      <w:lvlText w:val="%1."/>
      <w:lvlJc w:val="left"/>
      <w:pPr>
        <w:ind w:left="0" w:leftChars="0" w:firstLine="0" w:firstLineChars="0"/>
      </w:pPr>
    </w:lvl>
  </w:abstractNum>
  <w:abstractNum w:abstractNumId="1">
    <w:nsid w:val="DBD7FE63"/>
    <w:multiLevelType w:val="singleLevel"/>
    <w:tmpl w:val="DBD7FE63"/>
    <w:lvl w:ilvl="0" w:tentative="0">
      <w:start w:val="1"/>
      <w:numFmt w:val="decimal"/>
      <w:lvlText w:val="%1."/>
      <w:lvlJc w:val="left"/>
      <w:pPr>
        <w:tabs>
          <w:tab w:val="left" w:pos="312"/>
        </w:tabs>
      </w:pPr>
    </w:lvl>
  </w:abstractNum>
  <w:abstractNum w:abstractNumId="2">
    <w:nsid w:val="582C4D69"/>
    <w:multiLevelType w:val="multilevel"/>
    <w:tmpl w:val="582C4D69"/>
    <w:lvl w:ilvl="0" w:tentative="0">
      <w:start w:val="1"/>
      <w:numFmt w:val="decimal"/>
      <w:pStyle w:val="2"/>
      <w:lvlText w:val="%1"/>
      <w:lvlJc w:val="left"/>
      <w:pPr>
        <w:ind w:left="900" w:hanging="360"/>
      </w:pPr>
      <w:rPr>
        <w:rFonts w:hint="default" w:eastAsiaTheme="minorEastAsia"/>
      </w:rPr>
    </w:lvl>
    <w:lvl w:ilvl="1" w:tentative="0">
      <w:start w:val="1"/>
      <w:numFmt w:val="lowerLetter"/>
      <w:lvlText w:val="%2)"/>
      <w:lvlJc w:val="left"/>
      <w:pPr>
        <w:ind w:left="1380" w:hanging="420"/>
      </w:pPr>
    </w:lvl>
    <w:lvl w:ilvl="2" w:tentative="0">
      <w:start w:val="1"/>
      <w:numFmt w:val="lowerRoman"/>
      <w:lvlText w:val="%3."/>
      <w:lvlJc w:val="right"/>
      <w:pPr>
        <w:ind w:left="1800" w:hanging="420"/>
      </w:pPr>
    </w:lvl>
    <w:lvl w:ilvl="3" w:tentative="0">
      <w:start w:val="1"/>
      <w:numFmt w:val="decimal"/>
      <w:lvlText w:val="%4."/>
      <w:lvlJc w:val="left"/>
      <w:pPr>
        <w:ind w:left="2220" w:hanging="420"/>
      </w:pPr>
    </w:lvl>
    <w:lvl w:ilvl="4" w:tentative="0">
      <w:start w:val="1"/>
      <w:numFmt w:val="lowerLetter"/>
      <w:lvlText w:val="%5)"/>
      <w:lvlJc w:val="left"/>
      <w:pPr>
        <w:ind w:left="2640" w:hanging="420"/>
      </w:pPr>
    </w:lvl>
    <w:lvl w:ilvl="5" w:tentative="0">
      <w:start w:val="1"/>
      <w:numFmt w:val="lowerRoman"/>
      <w:lvlText w:val="%6."/>
      <w:lvlJc w:val="right"/>
      <w:pPr>
        <w:ind w:left="3060" w:hanging="420"/>
      </w:pPr>
    </w:lvl>
    <w:lvl w:ilvl="6" w:tentative="0">
      <w:start w:val="1"/>
      <w:numFmt w:val="decimal"/>
      <w:lvlText w:val="%7."/>
      <w:lvlJc w:val="left"/>
      <w:pPr>
        <w:ind w:left="3480" w:hanging="420"/>
      </w:pPr>
    </w:lvl>
    <w:lvl w:ilvl="7" w:tentative="0">
      <w:start w:val="1"/>
      <w:numFmt w:val="lowerLetter"/>
      <w:lvlText w:val="%8)"/>
      <w:lvlJc w:val="left"/>
      <w:pPr>
        <w:ind w:left="3900" w:hanging="420"/>
      </w:pPr>
    </w:lvl>
    <w:lvl w:ilvl="8" w:tentative="0">
      <w:start w:val="1"/>
      <w:numFmt w:val="lowerRoman"/>
      <w:lvlText w:val="%9."/>
      <w:lvlJc w:val="right"/>
      <w:pPr>
        <w:ind w:left="4320" w:hanging="420"/>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2"/>
  <w:bordersDoNotSurroundHeader w:val="0"/>
  <w:bordersDoNotSurroundFooter w:val="0"/>
  <w:documentProtection w:enforcement="0"/>
  <w:defaultTabStop w:val="420"/>
  <w:drawingGridHorizontalSpacing w:val="10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44625"/>
    <w:rsid w:val="00027D85"/>
    <w:rsid w:val="00044625"/>
    <w:rsid w:val="000510EF"/>
    <w:rsid w:val="000A45BB"/>
    <w:rsid w:val="001501D0"/>
    <w:rsid w:val="001F189E"/>
    <w:rsid w:val="00291589"/>
    <w:rsid w:val="002978B8"/>
    <w:rsid w:val="003174FB"/>
    <w:rsid w:val="0032606F"/>
    <w:rsid w:val="00360048"/>
    <w:rsid w:val="003C0169"/>
    <w:rsid w:val="003C32F3"/>
    <w:rsid w:val="00450543"/>
    <w:rsid w:val="004602F3"/>
    <w:rsid w:val="004665BA"/>
    <w:rsid w:val="00472827"/>
    <w:rsid w:val="004867CD"/>
    <w:rsid w:val="004E5D84"/>
    <w:rsid w:val="00547E05"/>
    <w:rsid w:val="00573A3F"/>
    <w:rsid w:val="006414D0"/>
    <w:rsid w:val="00652C35"/>
    <w:rsid w:val="0065490E"/>
    <w:rsid w:val="006C0AB2"/>
    <w:rsid w:val="00702236"/>
    <w:rsid w:val="0077699D"/>
    <w:rsid w:val="007F7B09"/>
    <w:rsid w:val="0080659F"/>
    <w:rsid w:val="0084721C"/>
    <w:rsid w:val="008A3D3B"/>
    <w:rsid w:val="008A51C1"/>
    <w:rsid w:val="008E3070"/>
    <w:rsid w:val="008F0E3D"/>
    <w:rsid w:val="009454A5"/>
    <w:rsid w:val="00956BFE"/>
    <w:rsid w:val="0097338F"/>
    <w:rsid w:val="00A4453B"/>
    <w:rsid w:val="00A45E72"/>
    <w:rsid w:val="00A47E3E"/>
    <w:rsid w:val="00AB50FF"/>
    <w:rsid w:val="00B86584"/>
    <w:rsid w:val="00BF75C3"/>
    <w:rsid w:val="00C00643"/>
    <w:rsid w:val="00C26E6B"/>
    <w:rsid w:val="00C33F5E"/>
    <w:rsid w:val="00C735A1"/>
    <w:rsid w:val="00C906A6"/>
    <w:rsid w:val="00D424F4"/>
    <w:rsid w:val="00E71DC6"/>
    <w:rsid w:val="00ED73ED"/>
    <w:rsid w:val="011E5EF4"/>
    <w:rsid w:val="6BB23357"/>
    <w:rsid w:val="6FC16AE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tabs>
        <w:tab w:val="left" w:pos="960"/>
        <w:tab w:val="left" w:pos="1440"/>
        <w:tab w:val="left" w:pos="3261"/>
        <w:tab w:val="left" w:pos="5670"/>
      </w:tabs>
      <w:suppressAutoHyphens/>
      <w:spacing w:before="60" w:after="60" w:line="240" w:lineRule="atLeast"/>
      <w:ind w:left="540" w:right="10" w:hanging="567"/>
      <w:jc w:val="both"/>
      <w:textAlignment w:val="baseline"/>
    </w:pPr>
    <w:rPr>
      <w:rFonts w:ascii="Times New Roman" w:hAnsi="Times New Roman" w:eastAsia="MingLiU" w:cs="Times New Roman"/>
      <w:kern w:val="0"/>
      <w:sz w:val="20"/>
      <w:szCs w:val="20"/>
      <w:lang w:val="en-US" w:eastAsia="ar-SA" w:bidi="ar-SA"/>
    </w:rPr>
  </w:style>
  <w:style w:type="paragraph" w:styleId="2">
    <w:name w:val="heading 1"/>
    <w:basedOn w:val="1"/>
    <w:next w:val="1"/>
    <w:link w:val="13"/>
    <w:qFormat/>
    <w:uiPriority w:val="0"/>
    <w:pPr>
      <w:keepNext/>
      <w:numPr>
        <w:ilvl w:val="0"/>
        <w:numId w:val="1"/>
      </w:numPr>
      <w:tabs>
        <w:tab w:val="left" w:pos="426"/>
        <w:tab w:val="clear" w:pos="960"/>
      </w:tabs>
      <w:spacing w:before="100" w:after="240"/>
      <w:ind w:left="567" w:right="0" w:hanging="567"/>
      <w:jc w:val="left"/>
      <w:outlineLvl w:val="0"/>
    </w:pPr>
    <w:rPr>
      <w:rFonts w:ascii="Arial" w:hAnsi="Arial" w:eastAsia="宋体"/>
      <w:b/>
      <w:kern w:val="1"/>
      <w:sz w:val="28"/>
      <w:lang w:eastAsia="zh-CN"/>
    </w:rPr>
  </w:style>
  <w:style w:type="character" w:default="1" w:styleId="9">
    <w:name w:val="Default Paragraph Font"/>
    <w:semiHidden/>
    <w:unhideWhenUsed/>
    <w:qFormat/>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3">
    <w:name w:val="Balloon Text"/>
    <w:basedOn w:val="1"/>
    <w:link w:val="15"/>
    <w:semiHidden/>
    <w:unhideWhenUsed/>
    <w:qFormat/>
    <w:uiPriority w:val="99"/>
    <w:pPr>
      <w:spacing w:before="0" w:after="0" w:line="240" w:lineRule="auto"/>
    </w:pPr>
    <w:rPr>
      <w:sz w:val="16"/>
      <w:szCs w:val="16"/>
    </w:rPr>
  </w:style>
  <w:style w:type="paragraph" w:styleId="4">
    <w:name w:val="footer"/>
    <w:basedOn w:val="1"/>
    <w:link w:val="17"/>
    <w:unhideWhenUsed/>
    <w:qFormat/>
    <w:uiPriority w:val="99"/>
    <w:pPr>
      <w:tabs>
        <w:tab w:val="center" w:pos="4153"/>
        <w:tab w:val="right" w:pos="8306"/>
        <w:tab w:val="clear" w:pos="960"/>
        <w:tab w:val="clear" w:pos="1440"/>
        <w:tab w:val="clear" w:pos="3261"/>
        <w:tab w:val="clear" w:pos="5670"/>
      </w:tabs>
      <w:snapToGrid w:val="0"/>
      <w:jc w:val="left"/>
    </w:pPr>
    <w:rPr>
      <w:sz w:val="18"/>
      <w:szCs w:val="18"/>
    </w:rPr>
  </w:style>
  <w:style w:type="paragraph" w:styleId="5">
    <w:name w:val="header"/>
    <w:basedOn w:val="1"/>
    <w:link w:val="16"/>
    <w:unhideWhenUsed/>
    <w:qFormat/>
    <w:uiPriority w:val="99"/>
    <w:pPr>
      <w:pBdr>
        <w:bottom w:val="single" w:color="auto" w:sz="6" w:space="1"/>
      </w:pBdr>
      <w:tabs>
        <w:tab w:val="center" w:pos="4153"/>
        <w:tab w:val="right" w:pos="8306"/>
        <w:tab w:val="clear" w:pos="960"/>
        <w:tab w:val="clear" w:pos="1440"/>
        <w:tab w:val="clear" w:pos="3261"/>
        <w:tab w:val="clear" w:pos="5670"/>
      </w:tabs>
      <w:snapToGrid w:val="0"/>
      <w:jc w:val="center"/>
    </w:pPr>
    <w:rPr>
      <w:sz w:val="18"/>
      <w:szCs w:val="18"/>
    </w:rPr>
  </w:style>
  <w:style w:type="paragraph" w:styleId="6">
    <w:name w:val="toc 1"/>
    <w:basedOn w:val="1"/>
    <w:next w:val="1"/>
    <w:autoRedefine/>
    <w:unhideWhenUsed/>
    <w:qFormat/>
    <w:uiPriority w:val="39"/>
    <w:pPr>
      <w:tabs>
        <w:tab w:val="left" w:pos="420"/>
        <w:tab w:val="right" w:pos="8296"/>
        <w:tab w:val="clear" w:pos="960"/>
        <w:tab w:val="clear" w:pos="1440"/>
        <w:tab w:val="clear" w:pos="3261"/>
        <w:tab w:val="clear" w:pos="5670"/>
      </w:tabs>
      <w:ind w:left="0" w:firstLine="0"/>
    </w:pPr>
  </w:style>
  <w:style w:type="paragraph" w:styleId="7">
    <w:name w:val="Normal (Web)"/>
    <w:basedOn w:val="1"/>
    <w:semiHidden/>
    <w:unhideWhenUsed/>
    <w:uiPriority w:val="99"/>
    <w:rPr>
      <w:sz w:val="24"/>
    </w:rPr>
  </w:style>
  <w:style w:type="character" w:styleId="10">
    <w:name w:val="FollowedHyperlink"/>
    <w:basedOn w:val="9"/>
    <w:semiHidden/>
    <w:unhideWhenUsed/>
    <w:qFormat/>
    <w:uiPriority w:val="99"/>
    <w:rPr>
      <w:color w:val="800080" w:themeColor="followedHyperlink"/>
      <w:u w:val="single"/>
      <w14:textFill>
        <w14:solidFill>
          <w14:schemeClr w14:val="folHlink"/>
        </w14:solidFill>
      </w14:textFill>
    </w:rPr>
  </w:style>
  <w:style w:type="character" w:styleId="11">
    <w:name w:val="Hyperlink"/>
    <w:basedOn w:val="9"/>
    <w:unhideWhenUsed/>
    <w:qFormat/>
    <w:uiPriority w:val="99"/>
    <w:rPr>
      <w:color w:val="0000FF" w:themeColor="hyperlink"/>
      <w:u w:val="single"/>
      <w14:textFill>
        <w14:solidFill>
          <w14:schemeClr w14:val="hlink"/>
        </w14:solidFill>
      </w14:textFill>
    </w:rPr>
  </w:style>
  <w:style w:type="paragraph" w:customStyle="1" w:styleId="12">
    <w:name w:val="题注1"/>
    <w:basedOn w:val="1"/>
    <w:next w:val="1"/>
    <w:qFormat/>
    <w:uiPriority w:val="0"/>
    <w:pPr>
      <w:tabs>
        <w:tab w:val="left" w:pos="567"/>
        <w:tab w:val="left" w:pos="2268"/>
        <w:tab w:val="right" w:leader="dot" w:pos="6804"/>
        <w:tab w:val="left" w:pos="7655"/>
        <w:tab w:val="center" w:pos="8505"/>
      </w:tabs>
      <w:ind w:left="-600" w:firstLine="40"/>
    </w:pPr>
    <w:rPr>
      <w:sz w:val="26"/>
      <w:u w:val="single"/>
    </w:rPr>
  </w:style>
  <w:style w:type="character" w:customStyle="1" w:styleId="13">
    <w:name w:val="Heading 1 Char"/>
    <w:basedOn w:val="9"/>
    <w:link w:val="2"/>
    <w:qFormat/>
    <w:uiPriority w:val="0"/>
    <w:rPr>
      <w:rFonts w:ascii="Arial" w:hAnsi="Arial" w:eastAsia="宋体" w:cs="Times New Roman"/>
      <w:b/>
      <w:kern w:val="1"/>
      <w:sz w:val="28"/>
      <w:szCs w:val="20"/>
    </w:rPr>
  </w:style>
  <w:style w:type="paragraph" w:customStyle="1" w:styleId="14">
    <w:name w:val="TOC Heading"/>
    <w:basedOn w:val="2"/>
    <w:next w:val="1"/>
    <w:semiHidden/>
    <w:unhideWhenUsed/>
    <w:qFormat/>
    <w:uiPriority w:val="39"/>
    <w:pPr>
      <w:keepLines/>
      <w:numPr>
        <w:numId w:val="0"/>
      </w:numPr>
      <w:tabs>
        <w:tab w:val="clear" w:pos="426"/>
        <w:tab w:val="clear" w:pos="1440"/>
        <w:tab w:val="clear" w:pos="3261"/>
        <w:tab w:val="clear" w:pos="5670"/>
      </w:tabs>
      <w:suppressAutoHyphens w:val="0"/>
      <w:spacing w:before="480" w:after="0" w:line="276" w:lineRule="auto"/>
      <w:textAlignment w:val="auto"/>
      <w:outlineLvl w:val="9"/>
    </w:pPr>
    <w:rPr>
      <w:rFonts w:asciiTheme="majorHAnsi" w:hAnsiTheme="majorHAnsi" w:eastAsiaTheme="majorEastAsia" w:cstheme="majorBidi"/>
      <w:bCs/>
      <w:color w:val="376092" w:themeColor="accent1" w:themeShade="BF"/>
      <w:kern w:val="0"/>
      <w:szCs w:val="28"/>
      <w:lang w:eastAsia="ja-JP"/>
    </w:rPr>
  </w:style>
  <w:style w:type="character" w:customStyle="1" w:styleId="15">
    <w:name w:val="Balloon Text Char"/>
    <w:basedOn w:val="9"/>
    <w:link w:val="3"/>
    <w:semiHidden/>
    <w:qFormat/>
    <w:uiPriority w:val="99"/>
    <w:rPr>
      <w:rFonts w:ascii="Times New Roman" w:hAnsi="Times New Roman" w:eastAsia="MingLiU" w:cs="Times New Roman"/>
      <w:kern w:val="0"/>
      <w:sz w:val="16"/>
      <w:szCs w:val="16"/>
      <w:lang w:eastAsia="ar-SA"/>
    </w:rPr>
  </w:style>
  <w:style w:type="character" w:customStyle="1" w:styleId="16">
    <w:name w:val="Header Char"/>
    <w:basedOn w:val="9"/>
    <w:link w:val="5"/>
    <w:qFormat/>
    <w:uiPriority w:val="99"/>
    <w:rPr>
      <w:rFonts w:ascii="Times New Roman" w:hAnsi="Times New Roman" w:eastAsia="MingLiU" w:cs="Times New Roman"/>
      <w:kern w:val="0"/>
      <w:sz w:val="18"/>
      <w:szCs w:val="18"/>
      <w:lang w:eastAsia="ar-SA"/>
    </w:rPr>
  </w:style>
  <w:style w:type="character" w:customStyle="1" w:styleId="17">
    <w:name w:val="Footer Char"/>
    <w:basedOn w:val="9"/>
    <w:link w:val="4"/>
    <w:qFormat/>
    <w:uiPriority w:val="99"/>
    <w:rPr>
      <w:rFonts w:ascii="Times New Roman" w:hAnsi="Times New Roman" w:eastAsia="MingLiU" w:cs="Times New Roman"/>
      <w:kern w:val="0"/>
      <w:sz w:val="18"/>
      <w:szCs w:val="18"/>
      <w:lang w:eastAsia="ar-SA"/>
    </w:rPr>
  </w:style>
  <w:style w:type="character" w:customStyle="1" w:styleId="18">
    <w:name w:val="Unresolved Mention"/>
    <w:basedOn w:val="9"/>
    <w:semiHidden/>
    <w:unhideWhenUsed/>
    <w:qFormat/>
    <w:uiPriority w:val="99"/>
    <w:rPr>
      <w:color w:val="605E5C"/>
      <w:shd w:val="clear" w:color="auto" w:fill="E1DFDD"/>
    </w:rPr>
  </w:style>
  <w:style w:type="paragraph" w:customStyle="1" w:styleId="19">
    <w:name w:val="Normal+12pt Char Char Char"/>
    <w:basedOn w:val="1"/>
    <w:qFormat/>
    <w:uiPriority w:val="0"/>
    <w:pPr>
      <w:spacing w:before="280" w:after="264" w:line="324" w:lineRule="auto"/>
      <w:ind w:left="600" w:right="0" w:firstLine="0"/>
    </w:pPr>
    <w:rPr>
      <w:rFonts w:eastAsia="Times New Roman"/>
      <w:sz w:val="24"/>
      <w:szCs w:val="28"/>
    </w:rPr>
  </w:style>
  <w:style w:type="paragraph" w:customStyle="1" w:styleId="20">
    <w:name w:val="t1"/>
    <w:basedOn w:val="1"/>
    <w:qFormat/>
    <w:uiPriority w:val="0"/>
    <w:pPr>
      <w:tabs>
        <w:tab w:val="left" w:pos="450"/>
      </w:tabs>
      <w:spacing w:before="0" w:after="0" w:line="240" w:lineRule="auto"/>
      <w:ind w:left="450" w:right="0" w:hanging="450"/>
      <w:textAlignment w:val="auto"/>
    </w:pPr>
    <w:rPr>
      <w:rFonts w:ascii="Univers (WN)" w:hAnsi="Univers (WN)" w:eastAsia="Times New Roman"/>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2006">
  <b:Source>
    <b:Tag>IEE19</b:Tag>
    <b:SourceType>JournalArticle</b:SourceType>
    <b:Guid>{04C44C06-7F03-4515-82DE-F0342E9E6993}</b:Guid>
    <b:Author>
      <b:Author>
        <b:NameList>
          <b:Person>
            <b:Last>IEEE2006</b:Last>
          </b:Person>
        </b:NameList>
      </b:Author>
    </b:Author>
    <b:Title>Example</b:Title>
    <b:JournalName>IEEE</b:JournalName>
    <b:Year>2019</b:Year>
    <b:Pages>12-16</b:Pages>
    <b:RefOrder>1</b:RefOrder>
  </b:Source>
</b:Sources>
</file>

<file path=customXml/itemProps1.xml><?xml version="1.0" encoding="utf-8"?>
<ds:datastoreItem xmlns:ds="http://schemas.openxmlformats.org/officeDocument/2006/customXml" ds:itemID="{279621CA-0424-420C-A13B-38143E4FC99F}">
  <ds:schemaRefs/>
</ds:datastoreItem>
</file>

<file path=docProps/app.xml><?xml version="1.0" encoding="utf-8"?>
<Properties xmlns="http://schemas.openxmlformats.org/officeDocument/2006/extended-properties" xmlns:vt="http://schemas.openxmlformats.org/officeDocument/2006/docPropsVTypes">
  <Template>Normal.dotm</Template>
  <Company>ITSC</Company>
  <Pages>7</Pages>
  <Words>486</Words>
  <Characters>2707</Characters>
  <Lines>23</Lines>
  <Paragraphs>6</Paragraphs>
  <TotalTime>0</TotalTime>
  <ScaleCrop>false</ScaleCrop>
  <LinksUpToDate>false</LinksUpToDate>
  <CharactersWithSpaces>3154</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2016-03-02T06:03:00Z</dcterms:created>
  <dc:creator>xinfeng</dc:creator>
  <cp:lastModifiedBy>WPS_1686546516</cp:lastModifiedBy>
  <dcterms:modified xsi:type="dcterms:W3CDTF">2026-06-11T14:06:18Z</dcterms:modified>
  <cp:revision>28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eyJoZGlkIjoiMjI2YzVjOGVkNmJlOGQ0YmNiZmFkY2NkMmIzYjRiNDgiLCJ1c2VySWQiOiIxNTAwNjMyMzg5In0=</vt:lpwstr>
  </property>
  <property fmtid="{D5CDD505-2E9C-101B-9397-08002B2CF9AE}" pid="3" name="KSOProductBuildVer">
    <vt:lpwstr>2052-12.1.0.26895</vt:lpwstr>
  </property>
  <property fmtid="{D5CDD505-2E9C-101B-9397-08002B2CF9AE}" pid="4" name="ICV">
    <vt:lpwstr>A08944C5323E406F9242B512B6BE4A6B_12</vt:lpwstr>
  </property>
</Properties>
</file>