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Project Overview: Football Match Prediction</w:t>
      </w:r>
    </w:p>
    <w:p>
      <w:pPr>
        <w:spacing w:line="360" w:lineRule="auto" w:after="120"/>
      </w:pPr>
      <w:r>
        <w:t>Final Year Project — Group 26</w:t>
      </w:r>
    </w:p>
    <w:p>
      <w:pPr>
        <w:spacing w:line="360" w:lineRule="auto" w:after="120"/>
      </w:pPr>
      <w:r>
        <w:t>Logistic Regression-based system for predicting English professional football outcomes using rolling-window statistics from publicly available match data.</w:t>
      </w:r>
    </w:p>
    <w:p>
      <w:pPr>
        <w:pStyle w:val="Heading1"/>
      </w:pPr>
      <w:r>
        <w:rPr>
          <w:color w:val="1F4E79"/>
        </w:rPr>
        <w:t>1. Two-Track Structure</w:t>
      </w:r>
    </w:p>
    <w:p>
      <w:pPr>
        <w:pStyle w:val="Heading2"/>
      </w:pPr>
      <w:r>
        <w:rPr>
          <w:color w:val="1F4E79"/>
        </w:rPr>
        <w:t>Track A: English 4-Level Model (Primary)</w:t>
      </w:r>
    </w:p>
    <w:p>
      <w:pPr>
        <w:pStyle w:val="ListBullet"/>
        <w:spacing w:after="40"/>
      </w:pPr>
      <w:r>
        <w:t>Question: Can a statistical model using only free match data consistently outperform betting market odds?</w:t>
      </w:r>
    </w:p>
    <w:p>
      <w:pPr>
        <w:pStyle w:val="ListBullet"/>
        <w:spacing w:after="40"/>
      </w:pPr>
      <w:r>
        <w:t>Data: 11,952 matches, E0-E3 (all English divisions), 6 seasons (2019-2025)</w:t>
      </w:r>
    </w:p>
    <w:p>
      <w:pPr>
        <w:pStyle w:val="ListBullet"/>
        <w:spacing w:after="40"/>
      </w:pPr>
      <w:r>
        <w:t>Features: 62 dimensions (rolling stats, shots, h2h, league level). NO betting odds in training.</w:t>
      </w:r>
    </w:p>
    <w:p>
      <w:pPr>
        <w:pStyle w:val="ListBullet"/>
        <w:spacing w:after="40"/>
      </w:pPr>
      <w:r>
        <w:t>Model: Logistic Regression (L2, lbfgs, C=1.0)</w:t>
      </w:r>
    </w:p>
    <w:p>
      <w:pPr>
        <w:pStyle w:val="ListBullet"/>
        <w:spacing w:after="40"/>
      </w:pPr>
      <w:r>
        <w:t>Core: Walk-forward 57.25% vs market 49.40% (+7.85pp)</w:t>
      </w:r>
    </w:p>
    <w:p>
      <w:pPr>
        <w:pStyle w:val="ListBullet"/>
        <w:spacing w:after="40"/>
      </w:pPr>
      <w:r>
        <w:t>Reference: Feature engineering from Atta Mills et al. (2024); LR selection based on our experiments</w:t>
      </w:r>
    </w:p>
    <w:p>
      <w:pPr>
        <w:pStyle w:val="Heading2"/>
      </w:pPr>
      <w:r>
        <w:rPr>
          <w:color w:val="1F4E79"/>
        </w:rPr>
        <w:t>Track B: FootyStats-Enhanced Model</w:t>
      </w:r>
    </w:p>
    <w:p>
      <w:pPr>
        <w:pStyle w:val="ListBullet"/>
        <w:spacing w:after="40"/>
      </w:pPr>
      <w:r>
        <w:t>Question: Can cross-season PPG improve Buchdahl (2003)'s rating framework?</w:t>
      </w:r>
    </w:p>
    <w:p>
      <w:pPr>
        <w:pStyle w:val="ListBullet"/>
        <w:spacing w:after="40"/>
      </w:pPr>
      <w:r>
        <w:t>Data: 2,280 PL matches, 6 seasons, 71 features (62 + 9 FootyStats)</w:t>
      </w:r>
    </w:p>
    <w:p>
      <w:pPr>
        <w:pStyle w:val="ListBullet"/>
        <w:spacing w:after="40"/>
      </w:pPr>
      <w:r>
        <w:t>Core: 68.42% (+6.14pp over rolling baseline). Buchdahl: +2-10% vs ours +5-22%.</w:t>
      </w:r>
    </w:p>
    <w:p>
      <w:pPr>
        <w:pStyle w:val="ListBullet"/>
        <w:spacing w:after="40"/>
      </w:pPr>
      <w:r>
        <w:t>Limitation: PL only, 2019-2025. ~9.5pp gap if lower divisions had similar data.</w:t>
      </w:r>
    </w:p>
    <w:p>
      <w:pPr>
        <w:pStyle w:val="Heading1"/>
      </w:pPr>
      <w:r>
        <w:rPr>
          <w:color w:val="1F4E79"/>
        </w:rPr>
        <w:t>2. Value Betting Methodology</w:t>
      </w:r>
    </w:p>
    <w:p>
      <w:pPr>
        <w:pStyle w:val="Heading2"/>
      </w:pPr>
      <w:r>
        <w:rPr>
          <w:color w:val="1F4E79"/>
        </w:rPr>
        <w:t>2.1 Edge</w:t>
      </w:r>
    </w:p>
    <w:p>
      <w:pPr>
        <w:spacing w:line="360" w:lineRule="auto" w:after="120"/>
      </w:pPr>
      <w:r>
        <w:t>Edge = P_model / P_market - 1</w:t>
      </w:r>
    </w:p>
    <w:p>
      <w:pPr>
        <w:spacing w:line="360" w:lineRule="auto" w:after="120"/>
      </w:pPr>
      <w:r>
        <w:t>P_model from logistic regression; P_market from de-ordered Bet365 closing odds.</w:t>
      </w:r>
    </w:p>
    <w:p>
      <w:pPr>
        <w:spacing w:line="360" w:lineRule="auto" w:after="120"/>
      </w:pPr>
      <w:r>
        <w:t>Example — Liverpool vs Crystal Palace (2023-24):</w:t>
      </w:r>
    </w:p>
    <w:p>
      <w:pPr>
        <w:pStyle w:val="ListBullet"/>
        <w:spacing w:after="40"/>
      </w:pPr>
      <w:r>
        <w:t>Model predicted away win: P=0.281; Market: P=0.086 (odds 11.0); Edge = 227%</w:t>
      </w:r>
    </w:p>
    <w:p>
      <w:pPr>
        <w:pStyle w:val="ListBullet"/>
        <w:spacing w:after="40"/>
      </w:pPr>
      <w:r>
        <w:t>Actual: Crystal Palace won. 1-unit bet returns 10 units profit.</w:t>
      </w:r>
    </w:p>
    <w:p>
      <w:pPr>
        <w:pStyle w:val="Heading2"/>
      </w:pPr>
      <w:r>
        <w:rPr>
          <w:color w:val="1F4E79"/>
        </w:rPr>
        <w:t>2.2 Threshold</w:t>
      </w:r>
    </w:p>
    <w:p>
      <w:pPr>
        <w:spacing w:line="360" w:lineRule="auto" w:after="120"/>
      </w:pPr>
      <w:r>
        <w:t>Minimum edge required to place a bet. Higher threshold = fewer bets, higher quality per bet.</w:t>
      </w:r>
    </w:p>
    <w:p>
      <w:pPr>
        <w:spacing w:line="360" w:lineRule="auto" w:after="120"/>
      </w:pPr>
      <w:r>
        <w:t>Walk-forward full metrics (10,180 test matches):</w:t>
      </w:r>
    </w:p>
    <w:p>
      <w:pPr>
        <w:pStyle w:val="ListBullet"/>
        <w:spacing w:after="40"/>
      </w:pPr>
      <w:r>
        <w:t>0%: 10,180 bets, ROI +43.1% | 30%: 7,782 bets, ROI +55.0%</w:t>
      </w:r>
    </w:p>
    <w:p>
      <w:pPr>
        <w:pStyle w:val="ListBullet"/>
        <w:spacing w:after="40"/>
      </w:pPr>
      <w:r>
        <w:t>50%: 5,658 bets, ROI +66.0% | 100%: 2,441 bets, ROI +99.3%</w:t>
      </w:r>
    </w:p>
    <w:p>
      <w:pPr>
        <w:spacing w:line="360" w:lineRule="auto" w:after="120"/>
      </w:pPr>
      <w:r>
        <w:t>The 30% threshold is recommended, balancing sample size and ROI.</w:t>
      </w:r>
    </w:p>
    <w:p>
      <w:pPr>
        <w:pStyle w:val="Heading2"/>
      </w:pPr>
      <w:r>
        <w:rPr>
          <w:color w:val="1F4E79"/>
        </w:rPr>
        <w:t>2.3 Betting Strategy</w:t>
      </w:r>
    </w:p>
    <w:p>
      <w:pPr>
        <w:spacing w:line="360" w:lineRule="auto" w:after="120"/>
      </w:pPr>
      <w:r>
        <w:t>Best per Match: for each match, select the outcome (H/D/A) with the highest edge. Max 1 bet per match.</w:t>
      </w:r>
    </w:p>
    <w:p>
      <w:pPr>
        <w:pStyle w:val="Heading2"/>
      </w:pPr>
      <w:r>
        <w:rPr>
          <w:color w:val="1F4E79"/>
        </w:rPr>
        <w:t>2.4 Market Odds Processing</w:t>
      </w:r>
    </w:p>
    <w:p>
      <w:pPr>
        <w:spacing w:line="360" w:lineRule="auto" w:after="120"/>
      </w:pPr>
      <w:r>
        <w:t>Raw Bet365 closing odds -&gt; 1/odds -&gt; de-order (normalise to sum=1) -&gt; market probability.</w:t>
      </w:r>
    </w:p>
    <w:p>
      <w:pPr>
        <w:spacing w:line="360" w:lineRule="auto" w:after="120"/>
      </w:pPr>
      <w:r>
        <w:t>Example: Liverpool vs Crystal Palace odds 1.2/7.5/11.0 -&gt; de-ordered: 78.8%/12.6%/8.6%.</w:t>
      </w:r>
    </w:p>
    <w:p>
      <w:pPr>
        <w:pStyle w:val="Heading2"/>
      </w:pPr>
      <w:r>
        <w:rPr>
          <w:color w:val="1F4E79"/>
        </w:rPr>
        <w:t>2.5 Comparison with Buchdahl (2003)</w:t>
      </w:r>
    </w:p>
    <w:p>
      <w:pPr>
        <w:spacing w:line="360" w:lineRule="auto" w:after="120"/>
      </w:pPr>
      <w:r>
        <w:t>Original: goal-difference rating -&gt; historical probability table -&gt; fair odds -&gt; compare with bookmaker -&gt; bet home only.</w:t>
      </w:r>
    </w:p>
    <w:p>
      <w:pPr>
        <w:spacing w:line="360" w:lineRule="auto" w:after="120"/>
      </w:pPr>
      <w:r>
        <w:t>Ours: LR outputs probabilities -&gt; Edge = P_model/P_market - 1 -&gt; compare with threshold -&gt; bet any outcome.</w:t>
      </w:r>
    </w:p>
    <w:p>
      <w:pPr>
        <w:pStyle w:val="Heading1"/>
      </w:pPr>
      <w:r>
        <w:rPr>
          <w:color w:val="1F4E79"/>
        </w:rPr>
        <w:t>3. Validation Method: Walk-forward</w:t>
      </w:r>
    </w:p>
    <w:p>
      <w:pPr>
        <w:spacing w:line="360" w:lineRule="auto" w:after="120"/>
      </w:pPr>
      <w:r>
        <w:t>Walk-forward validation: train on all completed seasons, test on the next full season. Expand training set, repeat. 5 folds, 10,180 test matches total. This simulates real deployment and tests cross-season robustness.</w:t>
      </w:r>
    </w:p>
    <w:p>
      <w:pPr>
        <w:spacing w:line="360" w:lineRule="auto" w:after="120"/>
      </w:pPr>
      <w:r>
        <w:t>Each match's features use only data from before that match (shift(1) in rolling statistics), ensuring no future information leakage.</w:t>
      </w:r>
    </w:p>
    <w:p>
      <w:pPr>
        <w:pStyle w:val="Heading2"/>
      </w:pPr>
      <w:r>
        <w:rPr>
          <w:color w:val="1F4E79"/>
        </w:rPr>
        <w:t>3.1 Track A Results</w:t>
      </w:r>
    </w:p>
    <w:p>
      <w:pPr>
        <w:spacing w:line="360" w:lineRule="auto" w:after="120"/>
      </w:pPr>
      <w:r>
        <w:t>Walk-forward (5 folds, 10,180 test matches):</w:t>
      </w:r>
    </w:p>
    <w:p>
      <w:pPr>
        <w:pStyle w:val="ListBullet"/>
        <w:spacing w:after="40"/>
      </w:pPr>
      <w:r>
        <w:t>Model: 57.25%, Market: 49.40%, Margin: +7.85pp</w:t>
      </w:r>
    </w:p>
    <w:p>
      <w:pPr>
        <w:pStyle w:val="ListBullet"/>
        <w:spacing w:after="40"/>
      </w:pPr>
      <w:r>
        <w:t>No single season underperforms market by more than 2pp</w:t>
      </w:r>
    </w:p>
    <w:p>
      <w:pPr>
        <w:pStyle w:val="ListBullet"/>
        <w:spacing w:after="40"/>
      </w:pPr>
      <w:r>
        <w:t>Value betting (30% threshold): 7,782 bets, ROI +55.0%</w:t>
      </w:r>
    </w:p>
    <w:p>
      <w:pPr>
        <w:pStyle w:val="ListBullet"/>
        <w:spacing w:after="40"/>
      </w:pPr>
      <w:r>
        <w:t>Per-class: Away 70.3% (market 47.4%), Draw 13.0% (market 0.0%), Home 81.8% (market 80.2%)</w:t>
      </w:r>
    </w:p>
    <w:p>
      <w:pPr>
        <w:pStyle w:val="Heading2"/>
      </w:pPr>
      <w:r>
        <w:rPr>
          <w:color w:val="1F4E79"/>
        </w:rPr>
        <w:t>3.2 Track B Results</w:t>
      </w:r>
    </w:p>
    <w:p>
      <w:pPr>
        <w:pStyle w:val="ListBullet"/>
        <w:spacing w:after="40"/>
      </w:pPr>
      <w:r>
        <w:t>Rolling baseline: 62.28% | +FootyStats: 68.42% (+6.14pp) | Market: 57.02%</w:t>
      </w:r>
    </w:p>
    <w:p>
      <w:pPr>
        <w:pStyle w:val="Heading2"/>
      </w:pPr>
      <w:r>
        <w:rPr>
          <w:color w:val="1F4E79"/>
        </w:rPr>
        <w:t>3.3 Model vs Market Disagreement</w:t>
      </w:r>
    </w:p>
    <w:p>
      <w:pPr>
        <w:spacing w:line="360" w:lineRule="auto" w:after="120"/>
      </w:pPr>
      <w:r>
        <w:t>On 1,900 PL walk-forward matches, model and market disagree on 38.6% of matches. When they disagree, model is correct 45.8% vs market 25.6% (ratio 1.8x).</w:t>
      </w:r>
    </w:p>
    <w:p>
      <w:pPr>
        <w:spacing w:line="360" w:lineRule="auto" w:after="120"/>
      </w:pPr>
      <w:r>
        <w:t>Example 1 — Liverpool vs Crystal Palace (2023-24): market priced home win at 78.8%; model gave away win 28.1% (Edge 227%). Actual: Crystal Palace 1-0.</w:t>
      </w:r>
    </w:p>
    <w:p>
      <w:pPr>
        <w:spacing w:line="360" w:lineRule="auto" w:after="120"/>
      </w:pPr>
      <w:r>
        <w:t>Example 2 — Bournemouth vs Arsenal (2024-25): market favoured home (33%); model predicted away win at 98% (Edge 200%). Actual: Arsenal away win.</w:t>
      </w:r>
    </w:p>
    <w:p>
      <w:pPr>
        <w:pStyle w:val="Heading1"/>
      </w:pPr>
      <w:r>
        <w:rPr>
          <w:color w:val="1F4E79"/>
        </w:rPr>
        <w:t>4. Limitations &amp; Future Work</w:t>
      </w:r>
    </w:p>
    <w:p>
      <w:pPr>
        <w:pStyle w:val="ListBullet"/>
        <w:spacing w:after="40"/>
      </w:pPr>
      <w:r>
        <w:t>FootyStats covers PL only (2019-2025). Expanding to lower divisions is the clearest improvement path.</w:t>
      </w:r>
    </w:p>
    <w:p>
      <w:pPr>
        <w:pStyle w:val="ListBullet"/>
        <w:spacing w:after="40"/>
      </w:pPr>
      <w:r>
        <w:t>Lower division accuracy is lower due to increased competitive randomness.</w:t>
      </w:r>
    </w:p>
    <w:p>
      <w:pPr>
        <w:pStyle w:val="ListBullet"/>
        <w:spacing w:after="40"/>
      </w:pPr>
      <w:r>
        <w:t>Draw prediction is limited: model only 13.0%, market 0.0%. Draw is the most difficult outcome.</w:t>
      </w:r>
    </w:p>
    <w:p>
      <w:pPr>
        <w:pStyle w:val="ListBullet"/>
        <w:spacing w:after="40"/>
      </w:pPr>
      <w:r>
        <w:t>Value betting ROI is threshold-sensitive (+43% to +99%). Classification advantage is far more stable.</w:t>
      </w:r>
    </w:p>
    <w:p>
      <w:pPr>
        <w:pStyle w:val="ListBullet"/>
        <w:spacing w:after="40"/>
      </w:pPr>
      <w:r>
        <w:t>Future work: PPG/xG for lower divisions, player-level features (value, injuries, squad depth).</w:t>
      </w:r>
    </w:p>
    <w:p>
      <w:pPr>
        <w:pStyle w:val="Heading1"/>
      </w:pPr>
      <w:r>
        <w:rPr>
          <w:color w:val="1F4E79"/>
        </w:rPr>
        <w:t>5. Key Papers Referenced</w:t>
      </w:r>
    </w:p>
    <w:p>
      <w:pPr>
        <w:pStyle w:val="ListBullet"/>
        <w:spacing w:after="40"/>
      </w:pPr>
      <w:r>
        <w:t>Buchdahl, J. (2003). Rating Systems for Fixed Odds Football Match Prediction.</w:t>
      </w:r>
    </w:p>
    <w:p>
      <w:pPr>
        <w:pStyle w:val="ListBullet"/>
        <w:spacing w:after="40"/>
      </w:pPr>
      <w:r>
        <w:t>Reade, J., Singleton, C. &amp; Vaughan Williams, L. (2020). Betting markets and statistical models.</w:t>
      </w:r>
    </w:p>
    <w:p>
      <w:pPr>
        <w:pStyle w:val="ListBullet"/>
        <w:spacing w:after="40"/>
      </w:pPr>
      <w:r>
        <w:t>Luiz et al. (2024). A deep learning approach for football match prediction.</w:t>
      </w:r>
    </w:p>
    <w:p>
      <w:pPr>
        <w:pStyle w:val="ListBullet"/>
        <w:spacing w:after="40"/>
      </w:pPr>
      <w:r>
        <w:t>Atta Mills et al. (2024). Comparing machine learning models for football prediction.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