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足球赛果预测 —— 项目总览</w:t>
      </w:r>
    </w:p>
    <w:p>
      <w:pPr>
        <w:spacing w:line="360" w:lineRule="auto" w:after="120"/>
      </w:pPr>
      <w:r>
        <w:t>Final Year Project — Group 26</w:t>
      </w:r>
    </w:p>
    <w:p>
      <w:pPr>
        <w:spacing w:line="360" w:lineRule="auto" w:after="120"/>
      </w:pPr>
      <w:r>
        <w:t>基于逻辑回归与滚动统计特征的英格兰职业足球赛果预测系统，附基于 Buchdahl (2003) 框架的价值投注改进。</w:t>
      </w:r>
    </w:p>
    <w:p>
      <w:pPr>
        <w:pStyle w:val="Heading1"/>
      </w:pPr>
      <w:r>
        <w:rPr>
          <w:color w:val="1F4E79"/>
        </w:rPr>
        <w:t>一、双轨结构</w:t>
      </w:r>
    </w:p>
    <w:p>
      <w:pPr>
        <w:pStyle w:val="Heading2"/>
      </w:pPr>
      <w:r>
        <w:rPr>
          <w:color w:val="1F4E79"/>
        </w:rPr>
        <w:t>Track A：英格兰四级联赛主模型</w:t>
      </w:r>
    </w:p>
    <w:p>
      <w:pPr>
        <w:pStyle w:val="ListBullet"/>
        <w:spacing w:after="40"/>
      </w:pPr>
      <w:r>
        <w:t>研究问题：仅用免费公开比赛数据（无任何付费 API），统计模型能否稳定优于博彩市场？</w:t>
      </w:r>
    </w:p>
    <w:p>
      <w:pPr>
        <w:pStyle w:val="ListBullet"/>
        <w:spacing w:after="40"/>
      </w:pPr>
      <w:r>
        <w:t>数据：英格兰四级联赛（E0-E3）2019-2025 共 6 赛季，11,952 场</w:t>
      </w:r>
    </w:p>
    <w:p>
      <w:pPr>
        <w:pStyle w:val="ListBullet"/>
        <w:spacing w:after="40"/>
      </w:pPr>
      <w:r>
        <w:t>特征：62 维——滚动球队状态（5/10 场窗口）、射门数据、历史交锋、联赛等级标识。不含任何赔率特征。</w:t>
      </w:r>
    </w:p>
    <w:p>
      <w:pPr>
        <w:pStyle w:val="ListBullet"/>
        <w:spacing w:after="40"/>
      </w:pPr>
      <w:r>
        <w:t>模型：Logistic 回归（L2 正则化，lbfgs，C=1.0）</w:t>
      </w:r>
    </w:p>
    <w:p>
      <w:pPr>
        <w:pStyle w:val="ListBullet"/>
        <w:spacing w:after="40"/>
      </w:pPr>
      <w:r>
        <w:t>核心结果（walk-forward）：57.25% vs 市场 49.40%，领先 +7.85 个百分点</w:t>
      </w:r>
    </w:p>
    <w:p>
      <w:pPr>
        <w:pStyle w:val="ListBullet"/>
        <w:spacing w:after="40"/>
      </w:pPr>
      <w:r>
        <w:t>价值投注（30% 阈值，walk-forward）：7,782 注，ROI +55.0%</w:t>
      </w:r>
    </w:p>
    <w:p>
      <w:pPr>
        <w:pStyle w:val="ListBullet"/>
        <w:spacing w:after="40"/>
      </w:pPr>
      <w:r>
        <w:t>参考论文：特征工程方法借鉴 Atta Mills et al. (2024)；LR 经本实验验证为最优（稳定性+校准）；价值投注框架参考 Buchdahl (2003)</w:t>
      </w:r>
    </w:p>
    <w:p>
      <w:pPr>
        <w:pStyle w:val="Heading2"/>
      </w:pPr>
      <w:r>
        <w:rPr>
          <w:color w:val="1F4E79"/>
        </w:rPr>
        <w:t>Track B：FootyStats 增强模型（价值投注改进）</w:t>
      </w:r>
    </w:p>
    <w:p>
      <w:pPr>
        <w:pStyle w:val="ListBullet"/>
        <w:spacing w:after="40"/>
      </w:pPr>
      <w:r>
        <w:t>研究问题：跨赛季 PPG 特征能否改进 Buchdahl (2003) 的评分系统，提升投注回报？</w:t>
      </w:r>
    </w:p>
    <w:p>
      <w:pPr>
        <w:pStyle w:val="ListBullet"/>
        <w:spacing w:after="40"/>
      </w:pPr>
      <w:r>
        <w:t>数据：英超 2019-2025 共 6 赛季，2,280 场，71 维特征（62 基础 + 9 FootyStats）</w:t>
      </w:r>
    </w:p>
    <w:p>
      <w:pPr>
        <w:pStyle w:val="ListBullet"/>
        <w:spacing w:after="40"/>
      </w:pPr>
      <w:r>
        <w:t>核心结果：68.42%（+6.14pp 提升自滚动统计基线）</w:t>
      </w:r>
    </w:p>
    <w:p>
      <w:pPr>
        <w:pStyle w:val="ListBullet"/>
        <w:spacing w:after="40"/>
      </w:pPr>
      <w:r>
        <w:t>Buchdahl 对照：原文 ROI +2~10% → 本论文 +5~21%</w:t>
      </w:r>
    </w:p>
    <w:p>
      <w:pPr>
        <w:pStyle w:val="ListBullet"/>
        <w:spacing w:after="40"/>
      </w:pPr>
      <w:r>
        <w:t>局限：FootyStats 仅限英超。若低级别联赛有类似数据，预计可缩小约 9.5pp 性能差距</w:t>
      </w:r>
    </w:p>
    <w:p>
      <w:pPr>
        <w:pStyle w:val="Heading1"/>
      </w:pPr>
      <w:r>
        <w:rPr>
          <w:color w:val="1F4E79"/>
        </w:rPr>
        <w:t>二、价值投注方法论</w:t>
      </w:r>
    </w:p>
    <w:p>
      <w:pPr>
        <w:pStyle w:val="Heading2"/>
      </w:pPr>
      <w:r>
        <w:rPr>
          <w:color w:val="1F4E79"/>
        </w:rPr>
        <w:t>2.1 Edge（优势）</w:t>
      </w:r>
    </w:p>
    <w:p>
      <w:pPr>
        <w:spacing w:line="360" w:lineRule="auto" w:after="120"/>
      </w:pPr>
      <w:r>
        <w:t>Edge = P_model / P_market - 1</w:t>
      </w:r>
    </w:p>
    <w:p>
      <w:pPr>
        <w:spacing w:line="360" w:lineRule="auto" w:after="120"/>
      </w:pPr>
      <w:r>
        <w:t>P_model 为模型预测概率，P_market 为 Bet365 收盘赔率经去抽水后的市场概率。Edge &gt; 0 表示模型认为市场低估了该结果。</w:t>
      </w:r>
    </w:p>
    <w:p>
      <w:pPr>
        <w:spacing w:line="360" w:lineRule="auto" w:after="120"/>
      </w:pPr>
      <w:r>
        <w:t>案例——利物浦 vs 水晶宫（2023-24 赛季）：</w:t>
      </w:r>
    </w:p>
    <w:p>
      <w:pPr>
        <w:pStyle w:val="ListBullet"/>
        <w:spacing w:after="40"/>
      </w:pPr>
      <w:r>
        <w:t>模型预测客胜概率：28.1%</w:t>
      </w:r>
    </w:p>
    <w:p>
      <w:pPr>
        <w:pStyle w:val="ListBullet"/>
        <w:spacing w:after="40"/>
      </w:pPr>
      <w:r>
        <w:t>市场隐含概率：8.6%（对应赔率 11.0）</w:t>
      </w:r>
    </w:p>
    <w:p>
      <w:pPr>
        <w:pStyle w:val="ListBullet"/>
        <w:spacing w:after="40"/>
      </w:pPr>
      <w:r>
        <w:t>Edge = 0.281 / 0.086 - 1 = 227%</w:t>
      </w:r>
    </w:p>
    <w:p>
      <w:pPr>
        <w:pStyle w:val="ListBullet"/>
        <w:spacing w:after="40"/>
      </w:pPr>
      <w:r>
        <w:t>实际结果：水晶宫客胜 ✅。1 单位投注获 10 单位利润。</w:t>
      </w:r>
    </w:p>
    <w:p>
      <w:pPr>
        <w:pStyle w:val="Heading2"/>
      </w:pPr>
      <w:r>
        <w:rPr>
          <w:color w:val="1F4E79"/>
        </w:rPr>
        <w:t>2.2 Threshold（阈值）</w:t>
      </w:r>
    </w:p>
    <w:p>
      <w:pPr>
        <w:spacing w:line="360" w:lineRule="auto" w:after="120"/>
      </w:pPr>
      <w:r>
        <w:t>阈值是下注的最低 Edge 门槛。只投注 Edge 超过该值的结果。阈值越高→投注数越少→单注平均质量越高。</w:t>
      </w:r>
    </w:p>
    <w:p>
      <w:pPr>
        <w:spacing w:line="360" w:lineRule="auto" w:after="120"/>
      </w:pPr>
      <w:r>
        <w:t>模型评估与阈值扫描使用两种不同的验证方法：</w:t>
      </w:r>
    </w:p>
    <w:p>
      <w:pPr>
        <w:spacing w:line="360" w:lineRule="auto" w:after="120"/>
      </w:pPr>
      <w:r>
        <w:t>模型评估采用 Walk-forward 逐季滚动验证——每赛季用之前所有赛季的数据训练，预测下一整个赛季。跨 5 轮（2020-2025），共 10,180 场测试，模拟真实部署场景。模型加权平均准确率 57.46%，市场 49.40%，平均领先 **+8.06pp**。</w:t>
      </w:r>
    </w:p>
    <w:p>
      <w:pPr>
        <w:spacing w:line="360" w:lineRule="auto" w:after="120"/>
      </w:pPr>
      <w:r>
        <w:t>以下为 walk-forward 全阈值扫描结果（每场比赛只投注 Edge 最高的一个 outcome，即 best per match 策略）：</w:t>
      </w:r>
    </w:p>
    <w:p>
      <w:pPr>
        <w:pStyle w:val="ListBullet"/>
        <w:spacing w:after="40"/>
      </w:pPr>
      <w:r>
        <w:t>阈值 0%：10,180 注，ROI +41.8%（每场必投）</w:t>
      </w:r>
    </w:p>
    <w:p>
      <w:pPr>
        <w:pStyle w:val="ListBullet"/>
        <w:spacing w:after="40"/>
      </w:pPr>
      <w:r>
        <w:t>阈值 30%：7,782 注，ROI +55.0%（论文推荐）</w:t>
      </w:r>
    </w:p>
    <w:p>
      <w:pPr>
        <w:pStyle w:val="ListBullet"/>
        <w:spacing w:after="40"/>
      </w:pPr>
      <w:r>
        <w:t>阈值 50%：5,658 注，ROI +66.0%</w:t>
      </w:r>
    </w:p>
    <w:p>
      <w:pPr>
        <w:pStyle w:val="ListBullet"/>
        <w:spacing w:after="40"/>
      </w:pPr>
      <w:r>
        <w:t>阈值 100%：2,441 注，ROI +99.3%</w:t>
      </w:r>
    </w:p>
    <w:p>
      <w:pPr>
        <w:pStyle w:val="ListBullet"/>
        <w:spacing w:after="40"/>
      </w:pPr>
      <w:r>
        <w:t>阈值越高 ROI 越高，但注数减少、统计可靠性下降。论文以 30% 阈值作为主结果，平衡注数与 ROI。</w:t>
      </w:r>
    </w:p>
    <w:p>
      <w:pPr>
        <w:pStyle w:val="Heading2"/>
      </w:pPr>
      <w:r>
        <w:rPr>
          <w:color w:val="1F4E79"/>
        </w:rPr>
        <w:t>2.3 投注策略</w:t>
      </w:r>
    </w:p>
    <w:p>
      <w:pPr>
        <w:spacing w:line="360" w:lineRule="auto" w:after="120"/>
      </w:pPr>
      <w:r>
        <w:t>本文采用 Best per match 策略——每场比赛从主胜、平局、客胜三个结果中选出 Edge（优势）最高的那个进行投注，若该 Edge 超过阈值则下注 1 单位。一场最多一注。这是最直接且样本量最大的部署方式。</w:t>
      </w:r>
    </w:p>
    <w:p>
      <w:pPr>
        <w:pStyle w:val="Heading2"/>
      </w:pPr>
      <w:r>
        <w:rPr>
          <w:color w:val="1F4E79"/>
        </w:rPr>
        <w:t>2.4 市场赔率处理</w:t>
      </w:r>
    </w:p>
    <w:p>
      <w:pPr>
        <w:spacing w:line="360" w:lineRule="auto" w:after="120"/>
      </w:pPr>
      <w:r>
        <w:t>原始 Bet365 收盘赔率 → 取倒数（1/赔率）→ 去抽水（归一化到总和=1）→ 市场概率。</w:t>
      </w:r>
    </w:p>
    <w:p>
      <w:pPr>
        <w:spacing w:line="360" w:lineRule="auto" w:after="120"/>
      </w:pPr>
      <w:r>
        <w:t>示例：利物浦 vs 水晶宫，庄家赔率主胜 1.2、平 7.5、客 11.0。去抽水后市场概率分别为 78.8%、12.6%、8.6%。</w:t>
      </w:r>
    </w:p>
    <w:p>
      <w:pPr>
        <w:pStyle w:val="Heading2"/>
      </w:pPr>
      <w:r>
        <w:rPr>
          <w:color w:val="1F4E79"/>
        </w:rPr>
        <w:t>2.5 与 Buchdahl (2003) 的对比</w:t>
      </w:r>
    </w:p>
    <w:p>
      <w:pPr>
        <w:spacing w:line="360" w:lineRule="auto" w:after="120"/>
      </w:pPr>
      <w:r>
        <w:t>Buchdahl 原文方法：计算近 6 场进球差评分 → 查历史概率表（14,002 场统计）→ 算公平赔率 → 与庄家比较 → 投主胜。</w:t>
      </w:r>
    </w:p>
    <w:p>
      <w:pPr>
        <w:spacing w:line="360" w:lineRule="auto" w:after="120"/>
      </w:pPr>
      <w:r>
        <w:t>本论文改进：LR 模型从 71 维特征直接输出概率 → Edge = P_model/P_market - 1 → 与阈值比较 → 可投任意结果。</w:t>
      </w:r>
    </w:p>
    <w:p>
      <w:pPr>
        <w:pStyle w:val="Heading1"/>
      </w:pPr>
      <w:r>
        <w:rPr>
          <w:color w:val="1F4E79"/>
        </w:rPr>
        <w:t>三、实验结果（Track A）</w:t>
      </w:r>
    </w:p>
    <w:p>
      <w:pPr>
        <w:pStyle w:val="Heading2"/>
      </w:pPr>
      <w:r>
        <w:rPr>
          <w:color w:val="1F4E79"/>
        </w:rPr>
        <w:t>3.1 验证方法：Walk-forward</w:t>
      </w:r>
    </w:p>
    <w:p>
      <w:pPr>
        <w:spacing w:line="360" w:lineRule="auto" w:after="120"/>
      </w:pPr>
      <w:r>
        <w:t>本文使用 Walk-forward 逐季滚动验证——用已完成的赛季训练模型，预测下一个完整赛季。然后扩增训练集（包含刚预测完的赛季），再预测下一季。重复 5 轮，累计 10,180 场测试。这种方法模拟真实部署场景，排除了单一年份的偶然性，跨 5 个独立年份验证模型稳定性。</w:t>
      </w:r>
    </w:p>
    <w:p>
      <w:pPr>
        <w:spacing w:line="360" w:lineRule="auto" w:after="120"/>
      </w:pPr>
      <w:r>
        <w:t>每场比赛的特征只使用该场比赛之前的数据（shift(1)），确保没有任何未来信息泄露。</w:t>
      </w:r>
    </w:p>
    <w:p>
      <w:pPr>
        <w:pStyle w:val="Heading2"/>
      </w:pPr>
      <w:r>
        <w:rPr>
          <w:color w:val="1F4E79"/>
        </w:rPr>
        <w:t>3.2 Track A：模型准确率</w:t>
      </w:r>
    </w:p>
    <w:p>
      <w:pPr>
        <w:spacing w:line="360" w:lineRule="auto" w:after="120"/>
      </w:pPr>
      <w:r>
        <w:t>Walk-forward（5 折，10,180 场测试）：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模型</w:t>
            </w:r>
          </w:p>
        </w:tc>
        <w:tc>
          <w:tcPr>
            <w:tcW w:type="dxa" w:w="2160"/>
          </w:tcPr>
          <w:p>
            <w:r>
              <w:t>市场</w:t>
            </w:r>
          </w:p>
        </w:tc>
        <w:tc>
          <w:tcPr>
            <w:tcW w:type="dxa" w:w="2160"/>
          </w:tcPr>
          <w:p>
            <w:r>
              <w:t>差值</w:t>
            </w:r>
          </w:p>
        </w:tc>
      </w:tr>
      <w:tr>
        <w:tc>
          <w:tcPr>
            <w:tcW w:type="dxa" w:w="2160"/>
          </w:tcPr>
          <w:p>
            <w:r>
              <w:t>准确率</w:t>
            </w:r>
          </w:p>
        </w:tc>
        <w:tc>
          <w:tcPr>
            <w:tcW w:type="dxa" w:w="2160"/>
          </w:tcPr>
          <w:p>
            <w:r>
              <w:t>57.25%</w:t>
            </w:r>
          </w:p>
        </w:tc>
        <w:tc>
          <w:tcPr>
            <w:tcW w:type="dxa" w:w="2160"/>
          </w:tcPr>
          <w:p>
            <w:r>
              <w:t>49.40%</w:t>
            </w:r>
          </w:p>
        </w:tc>
        <w:tc>
          <w:tcPr>
            <w:tcW w:type="dxa" w:w="2160"/>
          </w:tcPr>
          <w:p>
            <w:r>
              <w:t>+7.85pp</w:t>
            </w:r>
          </w:p>
        </w:tc>
      </w:tr>
      <w:tr>
        <w:tc>
          <w:tcPr>
            <w:tcW w:type="dxa" w:w="2160"/>
          </w:tcPr>
          <w:p>
            <w:r>
              <w:t>LogLoss</w:t>
            </w:r>
          </w:p>
        </w:tc>
        <w:tc>
          <w:tcPr>
            <w:tcW w:type="dxa" w:w="2160"/>
          </w:tcPr>
          <w:p>
            <w:r>
              <w:t>0.9003</w:t>
            </w:r>
          </w:p>
        </w:tc>
        <w:tc>
          <w:tcPr>
            <w:tcW w:type="dxa" w:w="2160"/>
          </w:tcPr>
          <w:p>
            <w:r>
              <w:t>1.0180</w:t>
            </w:r>
          </w:p>
        </w:tc>
        <w:tc>
          <w:tcPr>
            <w:tcW w:type="dxa" w:w="2160"/>
          </w:tcPr>
          <w:p>
            <w:r>
              <w:t>-0.1177</w:t>
            </w:r>
          </w:p>
        </w:tc>
      </w:tr>
      <w:tr>
        <w:tc>
          <w:tcPr>
            <w:tcW w:type="dxa" w:w="2160"/>
          </w:tcPr>
          <w:p>
            <w:r>
              <w:t>Brier</w:t>
            </w:r>
          </w:p>
        </w:tc>
        <w:tc>
          <w:tcPr>
            <w:tcW w:type="dxa" w:w="2160"/>
          </w:tcPr>
          <w:p>
            <w:r>
              <w:t>0.1778</w:t>
            </w:r>
          </w:p>
        </w:tc>
        <w:tc>
          <w:tcPr>
            <w:tcW w:type="dxa" w:w="2160"/>
          </w:tcPr>
          <w:p>
            <w:r>
              <w:t>0.2034</w:t>
            </w:r>
          </w:p>
        </w:tc>
        <w:tc>
          <w:tcPr>
            <w:tcW w:type="dxa" w:w="2160"/>
          </w:tcPr>
          <w:p>
            <w:r>
              <w:t>-0.0256</w:t>
            </w:r>
          </w:p>
        </w:tc>
      </w:tr>
      <w:tr>
        <w:tc>
          <w:tcPr>
            <w:tcW w:type="dxa" w:w="2160"/>
          </w:tcPr>
          <w:p>
            <w:r>
              <w:t>ROC AUC</w:t>
            </w:r>
          </w:p>
        </w:tc>
        <w:tc>
          <w:tcPr>
            <w:tcW w:type="dxa" w:w="2160"/>
          </w:tcPr>
          <w:p>
            <w:r>
              <w:t>0.7331</w:t>
            </w:r>
          </w:p>
        </w:tc>
        <w:tc>
          <w:tcPr>
            <w:tcW w:type="dxa" w:w="2160"/>
          </w:tcPr>
          <w:p>
            <w:r>
              <w:t>0.6302</w:t>
            </w:r>
          </w:p>
        </w:tc>
        <w:tc>
          <w:tcPr>
            <w:tcW w:type="dxa" w:w="2160"/>
          </w:tcPr>
          <w:p>
            <w:r>
              <w:t>+0.1029</w:t>
            </w:r>
          </w:p>
        </w:tc>
      </w:tr>
    </w:tbl>
    <w:p>
      <w:pPr>
        <w:spacing w:line="360" w:lineRule="auto" w:after="120"/>
      </w:pPr>
      <w:r>
        <w:t>按类别：客胜 70.3%（市场 47.4%）、平局 13.0%（市场 0.0%）、主胜 81.8%（市场 80.2%）。没有一年模型低于市场超过 2pp。价值投注（30% 阈值）：7,782 注，ROI +55.0%。</w:t>
      </w:r>
    </w:p>
    <w:p>
      <w:pPr>
        <w:pStyle w:val="Heading2"/>
      </w:pPr>
      <w:r>
        <w:rPr>
          <w:color w:val="1F4E79"/>
        </w:rPr>
        <w:t>3.3 Track B：FootyStats 增强</w:t>
      </w:r>
    </w:p>
    <w:p>
      <w:pPr>
        <w:pStyle w:val="ListBullet"/>
        <w:spacing w:after="40"/>
      </w:pPr>
      <w:r>
        <w:t>滚动特征基线：62.28%</w:t>
      </w:r>
    </w:p>
    <w:p>
      <w:pPr>
        <w:pStyle w:val="ListBullet"/>
        <w:spacing w:after="40"/>
      </w:pPr>
      <w:r>
        <w:t>+FootyStats：68.42%（+6.14pp）</w:t>
      </w:r>
    </w:p>
    <w:p>
      <w:pPr>
        <w:pStyle w:val="ListBullet"/>
        <w:spacing w:after="40"/>
      </w:pPr>
      <w:r>
        <w:t>市场赔率：57.02%</w:t>
      </w:r>
    </w:p>
    <w:p>
      <w:pPr>
        <w:pStyle w:val="Heading2"/>
      </w:pPr>
      <w:r>
        <w:rPr>
          <w:color w:val="1F4E79"/>
        </w:rPr>
        <w:t>3.4 模型 vs 市场分歧分析</w:t>
      </w:r>
    </w:p>
    <w:p>
      <w:pPr>
        <w:pStyle w:val="ListBullet"/>
        <w:spacing w:after="40"/>
      </w:pPr>
      <w:r>
        <w:t>测试集：1,900 场英超（walk-forward），LR + FootyStats 模型</w:t>
      </w:r>
    </w:p>
    <w:p>
      <w:pPr>
        <w:pStyle w:val="ListBullet"/>
        <w:spacing w:after="40"/>
      </w:pPr>
      <w:r>
        <w:t>模型与市场在 38.6% 的比赛上意见不一致</w:t>
      </w:r>
    </w:p>
    <w:p>
      <w:pPr>
        <w:pStyle w:val="ListBullet"/>
        <w:spacing w:after="40"/>
      </w:pPr>
      <w:r>
        <w:t>分歧时模型正确率 45.8%，市场正确率 25.6%，模型/市场比 **1.8 倍**</w:t>
      </w:r>
    </w:p>
    <w:p>
      <w:pPr>
        <w:spacing w:line="360" w:lineRule="auto" w:after="120"/>
      </w:pPr>
      <w:r>
        <w:t>案例一——利物浦 vs 水晶宫（2023-24）：市场看主胜概率 78.8%，模型给水晶宫客胜 28.1%（市场仅 8.6%），Edge 227%。实际水晶宫 1-0 客胜。</w:t>
      </w:r>
    </w:p>
    <w:p>
      <w:pPr>
        <w:spacing w:line="360" w:lineRule="auto" w:after="120"/>
      </w:pPr>
      <w:r>
        <w:t>案例二——伯恩茅斯 vs 阿森纳（2024-25）：市场看主胜概率 33%，模型看客胜概率 98%（Edge 200%）。实际阿森纳客胜。模型在强队客场作战时能识别市场对主场优势的高估。</w:t>
      </w:r>
    </w:p>
    <w:p>
      <w:pPr>
        <w:pStyle w:val="Heading1"/>
      </w:pPr>
      <w:r>
        <w:rPr>
          <w:color w:val="1F4E79"/>
        </w:rPr>
        <w:t>四、与文献对比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维度</w:t>
            </w:r>
          </w:p>
        </w:tc>
        <w:tc>
          <w:tcPr>
            <w:tcW w:type="dxa" w:w="2160"/>
          </w:tcPr>
          <w:p>
            <w:r>
              <w:t>Buchdahl (2003)</w:t>
            </w:r>
          </w:p>
        </w:tc>
        <w:tc>
          <w:tcPr>
            <w:tcW w:type="dxa" w:w="2160"/>
          </w:tcPr>
          <w:p>
            <w:r>
              <w:t>Reade et al. (2020)</w:t>
            </w:r>
          </w:p>
        </w:tc>
        <w:tc>
          <w:tcPr>
            <w:tcW w:type="dxa" w:w="2160"/>
          </w:tcPr>
          <w:p>
            <w:r>
              <w:t>本论文</w:t>
            </w:r>
          </w:p>
        </w:tc>
      </w:tr>
      <w:tr>
        <w:tc>
          <w:tcPr>
            <w:tcW w:type="dxa" w:w="2160"/>
          </w:tcPr>
          <w:p>
            <w:r>
              <w:t>数据</w:t>
            </w:r>
          </w:p>
        </w:tc>
        <w:tc>
          <w:tcPr>
            <w:tcW w:type="dxa" w:w="2160"/>
          </w:tcPr>
          <w:p>
            <w:r>
              <w:t>英联赛 1993-2001</w:t>
            </w:r>
          </w:p>
        </w:tc>
        <w:tc>
          <w:tcPr>
            <w:tcW w:type="dxa" w:w="2160"/>
          </w:tcPr>
          <w:p>
            <w:r>
              <w:t>PL 2 赛季</w:t>
            </w:r>
          </w:p>
        </w:tc>
        <w:tc>
          <w:tcPr>
            <w:tcW w:type="dxa" w:w="2160"/>
          </w:tcPr>
          <w:p>
            <w:r>
              <w:t>E0-E3 6 赛季 11,952 场</w:t>
            </w:r>
          </w:p>
        </w:tc>
      </w:tr>
      <w:tr>
        <w:tc>
          <w:tcPr>
            <w:tcW w:type="dxa" w:w="2160"/>
          </w:tcPr>
          <w:p>
            <w:r>
              <w:t>模型</w:t>
            </w:r>
          </w:p>
        </w:tc>
        <w:tc>
          <w:tcPr>
            <w:tcW w:type="dxa" w:w="2160"/>
          </w:tcPr>
          <w:p>
            <w:r>
              <w:t>进球差评分</w:t>
            </w:r>
          </w:p>
        </w:tc>
        <w:tc>
          <w:tcPr>
            <w:tcW w:type="dxa" w:w="2160"/>
          </w:tcPr>
          <w:p>
            <w:r>
              <w:t>基本泊松</w:t>
            </w:r>
          </w:p>
        </w:tc>
        <w:tc>
          <w:tcPr>
            <w:tcW w:type="dxa" w:w="2160"/>
          </w:tcPr>
          <w:p>
            <w:r>
              <w:t>LR + 62~71 维</w:t>
            </w:r>
          </w:p>
        </w:tc>
      </w:tr>
      <w:tr>
        <w:tc>
          <w:tcPr>
            <w:tcW w:type="dxa" w:w="2160"/>
          </w:tcPr>
          <w:p>
            <w:r>
              <w:t>分类 vs 市场</w:t>
            </w:r>
          </w:p>
        </w:tc>
        <w:tc>
          <w:tcPr>
            <w:tcW w:type="dxa" w:w="2160"/>
          </w:tcPr>
          <w:p>
            <w:r>
              <w:t>未报告</w:t>
            </w:r>
          </w:p>
        </w:tc>
        <w:tc>
          <w:tcPr>
            <w:tcW w:type="dxa" w:w="2160"/>
          </w:tcPr>
          <w:p>
            <w:r>
              <w:t>模型≈市场</w:t>
            </w:r>
          </w:p>
        </w:tc>
        <w:tc>
          <w:tcPr>
            <w:tcW w:type="dxa" w:w="2160"/>
          </w:tcPr>
          <w:p>
            <w:r>
              <w:t>+8.90pp</w:t>
            </w:r>
          </w:p>
        </w:tc>
      </w:tr>
    </w:tbl>
    <w:p>
      <w:pPr>
        <w:pStyle w:val="Heading1"/>
      </w:pPr>
      <w:r>
        <w:rPr>
          <w:color w:val="1F4E79"/>
        </w:rPr>
        <w:t>五、局限与未来方向</w:t>
      </w:r>
    </w:p>
    <w:p>
      <w:pPr>
        <w:pStyle w:val="ListBullet"/>
        <w:spacing w:after="40"/>
      </w:pPr>
      <w:r>
        <w:t>FootyStats 仅覆盖英超 6 季。PPG/xG/控球率贡献了 +6.14pp 提升，但低级别联赛无此数据。扩展数据源是最直接改进路径——这是数据获取问题，非建模问题。</w:t>
      </w:r>
    </w:p>
    <w:p>
      <w:pPr>
        <w:pStyle w:val="ListBullet"/>
        <w:spacing w:after="40"/>
      </w:pPr>
      <w:r>
        <w:t>低级别联赛（英甲、英乙）预测精度较低，因比赛随机性更大。</w:t>
      </w:r>
    </w:p>
    <w:p>
      <w:pPr>
        <w:pStyle w:val="ListBullet"/>
        <w:spacing w:after="40"/>
      </w:pPr>
      <w:r>
        <w:t>平局预测能力有限，模型仅 13.0%、市场 0.0%，说明平局本质上是最难分类的结果。</w:t>
      </w:r>
    </w:p>
    <w:p>
      <w:pPr>
        <w:pStyle w:val="ListBullet"/>
        <w:spacing w:after="40"/>
      </w:pPr>
      <w:r>
        <w:t>投注 ROI 对阈值选择敏感（0%~100% 对应 +43%~+99%），分类准确率优势则稳定得多。</w:t>
      </w:r>
    </w:p>
    <w:p>
      <w:pPr>
        <w:pStyle w:val="ListBullet"/>
        <w:spacing w:after="40"/>
      </w:pPr>
      <w:r>
        <w:t>未来方向：获取低级别联赛 PPG/xG 数据（最直接改进路径）、加入球员级特征（身价、伤病、阵容深度）。</w:t>
      </w:r>
    </w:p>
    <w:p>
      <w:pPr>
        <w:pStyle w:val="Heading1"/>
      </w:pPr>
      <w:r>
        <w:rPr>
          <w:color w:val="1F4E79"/>
        </w:rPr>
        <w:t>六、参考文献</w:t>
      </w:r>
    </w:p>
    <w:p>
      <w:pPr>
        <w:pStyle w:val="ListBullet"/>
        <w:spacing w:after="40"/>
      </w:pPr>
      <w:r>
        <w:t>Buchdahl, J. (2003). Rating Systems for Fixed Odds Football Match Prediction.</w:t>
      </w:r>
    </w:p>
    <w:p>
      <w:pPr>
        <w:pStyle w:val="ListBullet"/>
        <w:spacing w:after="40"/>
      </w:pPr>
      <w:r>
        <w:t>Reade, J., Singleton, C. &amp; Vaughan Williams, L. (2020). Betting markets and statistical models. [模型 vs 市场比较方法论]</w:t>
      </w:r>
    </w:p>
    <w:p>
      <w:pPr>
        <w:pStyle w:val="ListBullet"/>
        <w:spacing w:after="40"/>
      </w:pPr>
      <w:r>
        <w:t>Luiz et al. (2024). A deep learning approach for football match prediction.</w:t>
      </w:r>
    </w:p>
    <w:p>
      <w:pPr>
        <w:pStyle w:val="ListBullet"/>
        <w:spacing w:after="40"/>
      </w:pPr>
      <w:r>
        <w:t>Atta Mills et al. (2024). [特征工程方法]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