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DE752B">
      <w:pPr>
        <w:pStyle w:val="31"/>
      </w:pPr>
      <w:r>
        <w:rPr>
          <w:rFonts w:ascii="Arial" w:hAnsi="Arial" w:eastAsia="微软雅黑"/>
          <w:b/>
          <w:color w:val="000000"/>
          <w:sz w:val="32"/>
        </w:rPr>
        <w:t>足球预测实验导师核对简报</w:t>
      </w:r>
    </w:p>
    <w:p w14:paraId="2B5D0B9D">
      <w:r>
        <w:rPr>
          <w:rFonts w:ascii="Arial" w:hAnsi="Arial" w:eastAsia="微软雅黑"/>
          <w:b w:val="0"/>
          <w:color w:val="000000"/>
          <w:sz w:val="20"/>
        </w:rPr>
        <w:t>2026年10月15日  讨论稿</w:t>
      </w:r>
    </w:p>
    <w:p w14:paraId="08F3C058">
      <w:pPr>
        <w:pStyle w:val="3"/>
      </w:pPr>
      <w:r>
        <w:rPr>
          <w:rFonts w:ascii="Arial" w:hAnsi="Arial" w:eastAsia="微软雅黑"/>
          <w:b/>
          <w:color w:val="000000"/>
          <w:sz w:val="24"/>
        </w:rPr>
        <w:t>研究目的与本次工作</w:t>
      </w:r>
    </w:p>
    <w:p w14:paraId="1BEBFE29">
      <w:r>
        <w:rPr>
          <w:rFonts w:ascii="Arial" w:hAnsi="Arial" w:eastAsia="微软雅黑"/>
          <w:b w:val="0"/>
          <w:color w:val="000000"/>
          <w:sz w:val="22"/>
        </w:rPr>
        <w:t>从“足球能否通过建模进行概率预测”出发，先检验历史特征能否简化，再尝试用逻辑回归（LR）的胜平负概率指导泊松比分分布。</w:t>
      </w:r>
    </w:p>
    <w:p w14:paraId="6ECA44FC">
      <w:r>
        <w:rPr>
          <w:rFonts w:ascii="Arial" w:hAnsi="Arial" w:eastAsia="微软雅黑"/>
          <w:b w:val="0"/>
          <w:color w:val="000000"/>
          <w:sz w:val="22"/>
        </w:rPr>
        <w:t>数据为英格兰四级联赛2019/20至2025/26。以首季训练，之后六个完整赛季逐季向前回测，共12,216场；每折使用此前赛季拟合，赛季按原始文件归属划分。核心输入为赛前历史统计，不含赔率。</w:t>
      </w:r>
    </w:p>
    <w:p w14:paraId="764C1525">
      <w:r>
        <w:rPr>
          <w:rFonts w:ascii="Arial" w:hAnsi="Arial" w:eastAsia="微软雅黑"/>
          <w:b w:val="0"/>
          <w:color w:val="000000"/>
          <w:sz w:val="22"/>
        </w:rPr>
        <w:t>对原版66个特征进行重要性分析，比较76个候选组合，依据开发期Log Loss选取36个特征。简化版与原版LR采用相同训练和参数设置。</w:t>
      </w:r>
    </w:p>
    <w:p w14:paraId="484D0D41">
      <w:pPr>
        <w:pStyle w:val="3"/>
      </w:pPr>
      <w:r>
        <w:rPr>
          <w:rFonts w:ascii="Arial" w:hAnsi="Arial" w:eastAsia="微软雅黑"/>
          <w:b/>
          <w:color w:val="000000"/>
          <w:sz w:val="24"/>
        </w:rPr>
        <w:t>原版与简化LR对照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40B67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56" w:type="dxa"/>
          </w:tcPr>
          <w:p w14:paraId="1E377099">
            <w:pPr>
              <w:spacing w:before="60" w:after="60"/>
            </w:pPr>
            <w:r>
              <w:rPr>
                <w:rFonts w:ascii="Arial" w:hAnsi="Arial" w:eastAsia="微软雅黑"/>
                <w:b/>
                <w:color w:val="000000"/>
                <w:sz w:val="21"/>
              </w:rPr>
              <w:t>模型</w:t>
            </w:r>
          </w:p>
        </w:tc>
        <w:tc>
          <w:tcPr>
            <w:tcW w:w="2556" w:type="dxa"/>
          </w:tcPr>
          <w:p w14:paraId="45A21361">
            <w:pPr>
              <w:spacing w:before="60" w:after="60"/>
            </w:pPr>
            <w:r>
              <w:rPr>
                <w:rFonts w:ascii="Arial" w:hAnsi="Arial" w:eastAsia="微软雅黑"/>
                <w:b/>
                <w:color w:val="000000"/>
                <w:sz w:val="21"/>
              </w:rPr>
              <w:t>输入数</w:t>
            </w:r>
          </w:p>
        </w:tc>
        <w:tc>
          <w:tcPr>
            <w:tcW w:w="2556" w:type="dxa"/>
          </w:tcPr>
          <w:p w14:paraId="630283B6">
            <w:pPr>
              <w:spacing w:before="60" w:after="60"/>
            </w:pPr>
            <w:r>
              <w:rPr>
                <w:rFonts w:ascii="Arial" w:hAnsi="Arial" w:eastAsia="微软雅黑"/>
                <w:b/>
                <w:color w:val="000000"/>
                <w:sz w:val="21"/>
              </w:rPr>
              <w:t>赛果准确率</w:t>
            </w:r>
          </w:p>
        </w:tc>
        <w:tc>
          <w:tcPr>
            <w:tcW w:w="2556" w:type="dxa"/>
          </w:tcPr>
          <w:p w14:paraId="37D8A7C0">
            <w:pPr>
              <w:spacing w:before="60" w:after="60"/>
            </w:pPr>
            <w:r>
              <w:rPr>
                <w:rFonts w:ascii="Arial" w:hAnsi="Arial" w:eastAsia="微软雅黑"/>
                <w:b/>
                <w:color w:val="000000"/>
                <w:sz w:val="21"/>
              </w:rPr>
              <w:t xml:space="preserve">Log Loss </w:t>
            </w:r>
          </w:p>
        </w:tc>
      </w:tr>
      <w:tr w14:paraId="5E6E7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6" w:type="dxa"/>
          </w:tcPr>
          <w:p w14:paraId="227569D1">
            <w:pPr>
              <w:spacing w:before="60" w:after="60"/>
            </w:pPr>
            <w:r>
              <w:rPr>
                <w:rFonts w:ascii="Arial" w:hAnsi="Arial" w:eastAsia="微软雅黑"/>
                <w:b w:val="0"/>
                <w:color w:val="000000"/>
                <w:sz w:val="21"/>
              </w:rPr>
              <w:t>原版LR</w:t>
            </w:r>
          </w:p>
        </w:tc>
        <w:tc>
          <w:tcPr>
            <w:tcW w:w="2556" w:type="dxa"/>
          </w:tcPr>
          <w:p w14:paraId="06DD3F92">
            <w:pPr>
              <w:spacing w:before="60" w:after="60"/>
            </w:pPr>
            <w:r>
              <w:rPr>
                <w:rFonts w:ascii="Arial" w:hAnsi="Arial" w:eastAsia="微软雅黑"/>
                <w:b w:val="0"/>
                <w:color w:val="000000"/>
                <w:sz w:val="21"/>
              </w:rPr>
              <w:t>66</w:t>
            </w:r>
          </w:p>
        </w:tc>
        <w:tc>
          <w:tcPr>
            <w:tcW w:w="2556" w:type="dxa"/>
          </w:tcPr>
          <w:p w14:paraId="6DB1600D">
            <w:pPr>
              <w:spacing w:before="60" w:after="60"/>
            </w:pPr>
            <w:r>
              <w:rPr>
                <w:rFonts w:ascii="Arial" w:hAnsi="Arial" w:eastAsia="微软雅黑"/>
                <w:b w:val="0"/>
                <w:color w:val="000000"/>
                <w:sz w:val="21"/>
              </w:rPr>
              <w:t>45.63%</w:t>
            </w:r>
          </w:p>
        </w:tc>
        <w:tc>
          <w:tcPr>
            <w:tcW w:w="2556" w:type="dxa"/>
          </w:tcPr>
          <w:p w14:paraId="4E63B72B">
            <w:pPr>
              <w:spacing w:before="60" w:after="60"/>
            </w:pPr>
            <w:r>
              <w:rPr>
                <w:rFonts w:ascii="Arial" w:hAnsi="Arial" w:eastAsia="微软雅黑"/>
                <w:b w:val="0"/>
                <w:color w:val="000000"/>
                <w:sz w:val="21"/>
              </w:rPr>
              <w:t>1.056095</w:t>
            </w:r>
          </w:p>
        </w:tc>
      </w:tr>
      <w:tr w14:paraId="1B8BB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6" w:type="dxa"/>
          </w:tcPr>
          <w:p w14:paraId="448D1DCE">
            <w:pPr>
              <w:spacing w:before="60" w:after="60"/>
            </w:pPr>
            <w:r>
              <w:rPr>
                <w:rFonts w:ascii="Arial" w:hAnsi="Arial" w:eastAsia="微软雅黑"/>
                <w:b w:val="0"/>
                <w:color w:val="000000"/>
                <w:sz w:val="21"/>
              </w:rPr>
              <w:t>简化LR</w:t>
            </w:r>
          </w:p>
        </w:tc>
        <w:tc>
          <w:tcPr>
            <w:tcW w:w="2556" w:type="dxa"/>
          </w:tcPr>
          <w:p w14:paraId="1B9FCC1F">
            <w:pPr>
              <w:spacing w:before="60" w:after="60"/>
            </w:pPr>
            <w:r>
              <w:rPr>
                <w:rFonts w:ascii="Arial" w:hAnsi="Arial" w:eastAsia="微软雅黑"/>
                <w:b w:val="0"/>
                <w:color w:val="000000"/>
                <w:sz w:val="21"/>
              </w:rPr>
              <w:t>36</w:t>
            </w:r>
          </w:p>
        </w:tc>
        <w:tc>
          <w:tcPr>
            <w:tcW w:w="2556" w:type="dxa"/>
          </w:tcPr>
          <w:p w14:paraId="7E11CBB6">
            <w:pPr>
              <w:spacing w:before="60" w:after="60"/>
            </w:pPr>
            <w:r>
              <w:rPr>
                <w:rFonts w:ascii="Arial" w:hAnsi="Arial" w:eastAsia="微软雅黑"/>
                <w:b w:val="0"/>
                <w:color w:val="000000"/>
                <w:sz w:val="21"/>
              </w:rPr>
              <w:t>46.07%</w:t>
            </w:r>
          </w:p>
        </w:tc>
        <w:tc>
          <w:tcPr>
            <w:tcW w:w="2556" w:type="dxa"/>
          </w:tcPr>
          <w:p w14:paraId="1815BBB3">
            <w:pPr>
              <w:spacing w:before="60" w:after="60"/>
            </w:pPr>
            <w:r>
              <w:rPr>
                <w:rFonts w:ascii="Arial" w:hAnsi="Arial" w:eastAsia="微软雅黑"/>
                <w:b w:val="0"/>
                <w:color w:val="000000"/>
                <w:sz w:val="21"/>
              </w:rPr>
              <w:t>1.053133</w:t>
            </w:r>
          </w:p>
        </w:tc>
      </w:tr>
    </w:tbl>
    <w:p w14:paraId="39707FF9">
      <w:r>
        <w:rPr>
          <w:rFonts w:ascii="Arial" w:hAnsi="Arial" w:eastAsia="微软雅黑"/>
          <w:b w:val="0"/>
          <w:color w:val="000000"/>
          <w:sz w:val="22"/>
        </w:rPr>
        <w:t>简化后输入减少45.45%，多预测正确54场。六季Log Loss均降低；其改善的日期聚类95%区间不含0，但准确率改善区间包含0。Macro F1和平局F1下降，因此改善主要体现在概率评分。</w:t>
      </w:r>
    </w:p>
    <w:p w14:paraId="4BD0831D">
      <w:pPr>
        <w:pStyle w:val="3"/>
      </w:pPr>
      <w:r>
        <w:rPr>
          <w:rFonts w:ascii="Arial" w:hAnsi="Arial" w:eastAsia="微软雅黑"/>
          <w:b/>
          <w:color w:val="000000"/>
          <w:sz w:val="24"/>
        </w:rPr>
        <w:t>泊松融合结果</w:t>
      </w:r>
    </w:p>
    <w:p w14:paraId="35E960D3">
      <w:r>
        <w:rPr>
          <w:rFonts w:ascii="Arial" w:hAnsi="Arial" w:eastAsia="微软雅黑"/>
          <w:b w:val="0"/>
          <w:color w:val="000000"/>
          <w:sz w:val="22"/>
        </w:rPr>
        <w:t>保留相同泊松攻防参数和比分网格，用LR概率重新分配客胜、平局、主胜三个区域的总概率，保持各区域内部比分比例。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1F013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8" w:type="dxa"/>
          </w:tcPr>
          <w:p w14:paraId="0C88B51E">
            <w:pPr>
              <w:spacing w:before="60" w:after="60"/>
            </w:pPr>
            <w:r>
              <w:rPr>
                <w:rFonts w:ascii="Arial" w:hAnsi="Arial" w:eastAsia="微软雅黑"/>
                <w:b/>
                <w:color w:val="000000"/>
                <w:sz w:val="21"/>
              </w:rPr>
              <w:t>比分模型</w:t>
            </w:r>
          </w:p>
        </w:tc>
        <w:tc>
          <w:tcPr>
            <w:tcW w:w="3408" w:type="dxa"/>
          </w:tcPr>
          <w:p w14:paraId="7ACEC84F">
            <w:pPr>
              <w:spacing w:before="60" w:after="60"/>
            </w:pPr>
            <w:r>
              <w:rPr>
                <w:rFonts w:ascii="Arial" w:hAnsi="Arial" w:eastAsia="微软雅黑"/>
                <w:b/>
                <w:color w:val="000000"/>
                <w:sz w:val="21"/>
              </w:rPr>
              <w:t>精确比分命中率</w:t>
            </w:r>
          </w:p>
        </w:tc>
        <w:tc>
          <w:tcPr>
            <w:tcW w:w="3408" w:type="dxa"/>
          </w:tcPr>
          <w:p w14:paraId="10A7D11C">
            <w:pPr>
              <w:spacing w:before="60" w:after="60"/>
            </w:pPr>
            <w:r>
              <w:rPr>
                <w:rFonts w:ascii="Arial" w:hAnsi="Arial" w:eastAsia="微软雅黑"/>
                <w:b/>
                <w:color w:val="000000"/>
                <w:sz w:val="21"/>
              </w:rPr>
              <w:t xml:space="preserve">比分NLL </w:t>
            </w:r>
          </w:p>
        </w:tc>
      </w:tr>
      <w:tr w14:paraId="3014C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8" w:type="dxa"/>
          </w:tcPr>
          <w:p w14:paraId="0209BB2F">
            <w:pPr>
              <w:spacing w:before="60" w:after="60"/>
            </w:pPr>
            <w:r>
              <w:rPr>
                <w:rFonts w:ascii="Arial" w:hAnsi="Arial" w:eastAsia="微软雅黑"/>
                <w:b w:val="0"/>
                <w:color w:val="000000"/>
                <w:sz w:val="21"/>
              </w:rPr>
              <w:t>纯泊松</w:t>
            </w:r>
          </w:p>
        </w:tc>
        <w:tc>
          <w:tcPr>
            <w:tcW w:w="3408" w:type="dxa"/>
          </w:tcPr>
          <w:p w14:paraId="0E92D1B6">
            <w:pPr>
              <w:spacing w:before="60" w:after="60"/>
            </w:pPr>
            <w:r>
              <w:rPr>
                <w:rFonts w:ascii="Arial" w:hAnsi="Arial" w:eastAsia="微软雅黑"/>
                <w:b w:val="0"/>
                <w:color w:val="000000"/>
                <w:sz w:val="21"/>
              </w:rPr>
              <w:t>11.85%</w:t>
            </w:r>
          </w:p>
        </w:tc>
        <w:tc>
          <w:tcPr>
            <w:tcW w:w="3408" w:type="dxa"/>
          </w:tcPr>
          <w:p w14:paraId="58E232E7">
            <w:pPr>
              <w:spacing w:before="60" w:after="60"/>
            </w:pPr>
            <w:r>
              <w:rPr>
                <w:rFonts w:ascii="Arial" w:hAnsi="Arial" w:eastAsia="微软雅黑"/>
                <w:b w:val="0"/>
                <w:color w:val="000000"/>
                <w:sz w:val="21"/>
              </w:rPr>
              <w:t>3.005417</w:t>
            </w:r>
          </w:p>
        </w:tc>
      </w:tr>
      <w:tr w14:paraId="7BB0C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8" w:type="dxa"/>
          </w:tcPr>
          <w:p w14:paraId="201BF8EB">
            <w:pPr>
              <w:spacing w:before="60" w:after="60"/>
            </w:pPr>
            <w:r>
              <w:rPr>
                <w:rFonts w:ascii="Arial" w:hAnsi="Arial" w:eastAsia="微软雅黑"/>
                <w:b w:val="0"/>
                <w:color w:val="000000"/>
                <w:sz w:val="21"/>
              </w:rPr>
              <w:t>原版LR＋泊松</w:t>
            </w:r>
          </w:p>
        </w:tc>
        <w:tc>
          <w:tcPr>
            <w:tcW w:w="3408" w:type="dxa"/>
          </w:tcPr>
          <w:p w14:paraId="7E0B96A3">
            <w:pPr>
              <w:spacing w:before="60" w:after="60"/>
            </w:pPr>
            <w:r>
              <w:rPr>
                <w:rFonts w:ascii="Arial" w:hAnsi="Arial" w:eastAsia="微软雅黑"/>
                <w:b w:val="0"/>
                <w:color w:val="000000"/>
                <w:sz w:val="21"/>
              </w:rPr>
              <w:t>12.18%</w:t>
            </w:r>
          </w:p>
        </w:tc>
        <w:tc>
          <w:tcPr>
            <w:tcW w:w="3408" w:type="dxa"/>
          </w:tcPr>
          <w:p w14:paraId="65E3CBA9">
            <w:pPr>
              <w:spacing w:before="60" w:after="60"/>
            </w:pPr>
            <w:r>
              <w:rPr>
                <w:rFonts w:ascii="Arial" w:hAnsi="Arial" w:eastAsia="微软雅黑"/>
                <w:b w:val="0"/>
                <w:color w:val="000000"/>
                <w:sz w:val="21"/>
              </w:rPr>
              <w:t>2.967725</w:t>
            </w:r>
          </w:p>
        </w:tc>
      </w:tr>
      <w:tr w14:paraId="0240D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8" w:type="dxa"/>
          </w:tcPr>
          <w:p w14:paraId="15278DC5">
            <w:pPr>
              <w:spacing w:before="60" w:after="60"/>
            </w:pPr>
            <w:r>
              <w:rPr>
                <w:rFonts w:ascii="Arial" w:hAnsi="Arial" w:eastAsia="微软雅黑"/>
                <w:b w:val="0"/>
                <w:color w:val="000000"/>
                <w:sz w:val="21"/>
              </w:rPr>
              <w:t>简化LR＋泊松</w:t>
            </w:r>
          </w:p>
        </w:tc>
        <w:tc>
          <w:tcPr>
            <w:tcW w:w="3408" w:type="dxa"/>
          </w:tcPr>
          <w:p w14:paraId="1BBF9654">
            <w:pPr>
              <w:spacing w:before="60" w:after="60"/>
            </w:pPr>
            <w:r>
              <w:rPr>
                <w:rFonts w:ascii="Arial" w:hAnsi="Arial" w:eastAsia="微软雅黑"/>
                <w:b w:val="0"/>
                <w:color w:val="000000"/>
                <w:sz w:val="21"/>
              </w:rPr>
              <w:t>12.05%</w:t>
            </w:r>
          </w:p>
        </w:tc>
        <w:tc>
          <w:tcPr>
            <w:tcW w:w="3408" w:type="dxa"/>
          </w:tcPr>
          <w:p w14:paraId="68FDDA44">
            <w:pPr>
              <w:spacing w:before="60" w:after="60"/>
            </w:pPr>
            <w:r>
              <w:rPr>
                <w:rFonts w:ascii="Arial" w:hAnsi="Arial" w:eastAsia="微软雅黑"/>
                <w:b w:val="0"/>
                <w:color w:val="000000"/>
                <w:sz w:val="21"/>
              </w:rPr>
              <w:t>2.964762</w:t>
            </w:r>
          </w:p>
        </w:tc>
      </w:tr>
    </w:tbl>
    <w:p w14:paraId="16FC0245">
      <w:r>
        <w:rPr>
          <w:rFonts w:ascii="Arial" w:hAnsi="Arial" w:eastAsia="微软雅黑"/>
          <w:b w:val="0"/>
          <w:color w:val="000000"/>
          <w:sz w:val="22"/>
        </w:rPr>
        <w:t>简化融合的比分NLL最好；较纯泊松多命中24个比分，较原版融合少16个，两项命中率差异区间均包含0。比分NLL的改善来源于赛果概率调整，区域内部比分结构保持不变。</w:t>
      </w:r>
    </w:p>
    <w:p w14:paraId="0A6970B3">
      <w:pPr>
        <w:pStyle w:val="3"/>
      </w:pPr>
      <w:r>
        <w:rPr>
          <w:rFonts w:ascii="Arial" w:hAnsi="Arial" w:eastAsia="微软雅黑"/>
          <w:b/>
          <w:color w:val="000000"/>
          <w:sz w:val="24"/>
        </w:rPr>
        <w:t>与原版的比较及局限</w:t>
      </w:r>
    </w:p>
    <w:p w14:paraId="6641D315">
      <w:r>
        <w:rPr>
          <w:rFonts w:ascii="Arial" w:hAnsi="Arial" w:eastAsia="微软雅黑"/>
          <w:b w:val="0"/>
          <w:color w:val="000000"/>
          <w:sz w:val="22"/>
        </w:rPr>
        <w:t>本次以原版66列LR为基准，在相同训练条件和测试比赛上比较简化36列LR，并进一步比较两者指导泊松的效果。</w:t>
      </w:r>
    </w:p>
    <w:p w14:paraId="6E7D4957">
      <w:r>
        <w:rPr>
          <w:rFonts w:ascii="Arial" w:hAnsi="Arial" w:eastAsia="微软雅黑"/>
          <w:b w:val="0"/>
          <w:color w:val="000000"/>
          <w:sz w:val="22"/>
        </w:rPr>
        <w:t>本次六季结果属于回顾性比较，未来泛化仍需使用冻结规则后的新数据检验。</w:t>
      </w:r>
      <w:bookmarkStart w:id="0" w:name="_GoBack"/>
      <w:bookmarkEnd w:id="0"/>
    </w:p>
    <w:sectPr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0654F4"/>
    <w:rsid w:val="33AA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52" w:lineRule="auto"/>
    </w:pPr>
    <w:rPr>
      <w:rFonts w:ascii="Arial" w:hAnsi="Arial" w:eastAsia="微软雅黑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40" w:after="80"/>
      <w:outlineLvl w:val="0"/>
    </w:pPr>
    <w:rPr>
      <w:rFonts w:asciiTheme="majorHAnsi" w:hAnsiTheme="majorHAnsi" w:eastAsiaTheme="majorEastAsia" w:cstheme="majorBidi"/>
      <w:b/>
      <w:bCs/>
      <w:color w:val="000000"/>
      <w:sz w:val="2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2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680</Words>
  <Characters>884</Characters>
  <Lines>0</Lines>
  <Paragraphs>0</Paragraphs>
  <TotalTime>1</TotalTime>
  <ScaleCrop>false</ScaleCrop>
  <LinksUpToDate>false</LinksUpToDate>
  <CharactersWithSpaces>892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Football Prediction FYP</dc:creator>
  <dc:description>generated by python-docx</dc:description>
  <cp:lastModifiedBy>WPS_1686546516</cp:lastModifiedBy>
  <dcterms:modified xsi:type="dcterms:W3CDTF">2026-10-15T09:37:53Z</dcterms:modified>
  <dc:title>足球预测实验导师核对简报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eyJoZGlkIjoiMjI2YzVjOGVkNmJlOGQ0YmNiZmFkY2NkMmIzYjRiNDgiLCJ1c2VySWQiOiIxNTAwNjMyMzg5In0=</vt:lpwstr>
  </property>
  <property fmtid="{D5CDD505-2E9C-101B-9397-08002B2CF9AE}" pid="3" name="KSOProductBuildVer">
    <vt:lpwstr>2052-12.1.0.29161</vt:lpwstr>
  </property>
  <property fmtid="{D5CDD505-2E9C-101B-9397-08002B2CF9AE}" pid="4" name="ICV">
    <vt:lpwstr>4857CF46B81C4DB49EA28D414BBD5328_12</vt:lpwstr>
  </property>
</Properties>
</file>