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rial" w:hAnsi="Arial" w:eastAsia="Microsoft YaHei"/>
          <w:b/>
          <w:color w:val="000000"/>
          <w:sz w:val="36"/>
        </w:rPr>
        <w:t>English League Pre-match Probability Prediction Project Overview</w:t>
      </w:r>
    </w:p>
    <w:p>
      <w:pPr>
        <w:widowControl/>
      </w:pPr>
      <w:r>
        <w:rPr>
          <w:rFonts w:ascii="Arial" w:hAnsi="Arial" w:eastAsia="Microsoft YaHei"/>
          <w:b w:val="0"/>
          <w:color w:val="000000"/>
          <w:sz w:val="22"/>
        </w:rPr>
        <w:t>Updated 15 October 2026</w:t>
      </w:r>
    </w:p>
    <w:p>
      <w:pPr>
        <w:widowControl/>
      </w:pPr>
      <w:r>
        <w:rPr>
          <w:rFonts w:ascii="Arial" w:hAnsi="Arial" w:eastAsia="Microsoft YaHei"/>
          <w:b w:val="0"/>
          <w:color w:val="000000"/>
          <w:sz w:val="22"/>
        </w:rPr>
        <w:t>This project studies pre-match outcome and score probabilities for the English E0–E3 divisions. It establishes a 66-feature LR baseline, selects a fixed 36-feature subset, evaluates it across seasons and divisions, and uses LR outcome probabilities to guide a Poisson score distribution.</w:t>
      </w:r>
    </w:p>
    <w:p>
      <w:pPr>
        <w:pStyle w:val="Heading2"/>
      </w:pPr>
      <w:r>
        <w:rPr>
          <w:rFonts w:ascii="Arial" w:hAnsi="Arial" w:eastAsia="Microsoft YaHei"/>
          <w:b/>
          <w:color w:val="000000"/>
          <w:sz w:val="24"/>
        </w:rPr>
        <w:t>Can models predict football</w:t>
      </w:r>
    </w:p>
    <w:p>
      <w:pPr>
        <w:widowControl/>
      </w:pPr>
      <w:r>
        <w:rPr>
          <w:rFonts w:ascii="Arial" w:hAnsi="Arial" w:eastAsia="Microsoft YaHei"/>
          <w:b w:val="0"/>
          <w:color w:val="000000"/>
          <w:sz w:val="22"/>
        </w:rPr>
        <w:t>The starting question is whether football matches can be predicted through modelling. Outcomes remain uncertain, so the aim is not to guarantee every result. It is to use information available before kick-off to assign testable probabilities to home wins, draws, away wins and individual scorelines.</w:t>
      </w:r>
    </w:p>
    <w:p>
      <w:pPr>
        <w:widowControl/>
      </w:pPr>
      <w:r>
        <w:rPr>
          <w:rFonts w:ascii="Arial" w:hAnsi="Arial" w:eastAsia="Microsoft YaHei"/>
          <w:b w:val="0"/>
          <w:color w:val="000000"/>
          <w:sz w:val="22"/>
        </w:rPr>
        <w:t>This question has several levels. Can historical team performance support useful outcome probabilities? How should those inputs be organised and evaluated in later seasons? Can a classifier's representation of outcomes be combined with a statistical model's score structure to improve probability forecasts?</w:t>
      </w:r>
    </w:p>
    <w:p>
      <w:pPr>
        <w:pStyle w:val="Heading2"/>
      </w:pPr>
      <w:r>
        <w:rPr>
          <w:rFonts w:ascii="Arial" w:hAnsi="Arial" w:eastAsia="Microsoft YaHei"/>
          <w:b/>
          <w:color w:val="000000"/>
          <w:sz w:val="24"/>
        </w:rPr>
        <w:t>Research questions</w:t>
      </w:r>
    </w:p>
    <w:p>
      <w:pPr>
        <w:widowControl/>
      </w:pPr>
      <w:r>
        <w:rPr>
          <w:rFonts w:ascii="Arial" w:hAnsi="Arial" w:eastAsia="Microsoft YaHei"/>
          <w:b w:val="0"/>
          <w:color w:val="000000"/>
          <w:sz w:val="22"/>
        </w:rPr>
        <w:t>1. How can models predict football outcomes and scores under strictly pre-match information, and how should quality be assessed?</w:t>
      </w:r>
    </w:p>
    <w:p>
      <w:pPr>
        <w:widowControl/>
      </w:pPr>
      <w:r>
        <w:rPr>
          <w:rFonts w:ascii="Arial" w:hAnsi="Arial" w:eastAsia="Microsoft YaHei"/>
          <w:b w:val="0"/>
          <w:color w:val="000000"/>
          <w:sz w:val="22"/>
        </w:rPr>
        <w:t>2. What do rating, machine-learning and Poisson approaches contribute, and where do their assumptions and evaluation settings differ?</w:t>
      </w:r>
    </w:p>
    <w:p>
      <w:pPr>
        <w:widowControl/>
      </w:pPr>
      <w:r>
        <w:rPr>
          <w:rFonts w:ascii="Arial" w:hAnsi="Arial" w:eastAsia="Microsoft YaHei"/>
          <w:b w:val="0"/>
          <w:color w:val="000000"/>
          <w:sz w:val="22"/>
        </w:rPr>
        <w:t>3. Under a common chronological protocol, can LR-guided Poisson improve pure Poisson and fusion using the original LR?</w:t>
      </w:r>
    </w:p>
    <w:p>
      <w:pPr>
        <w:widowControl/>
      </w:pPr>
      <w:r>
        <w:rPr>
          <w:rFonts w:ascii="Arial" w:hAnsi="Arial" w:eastAsia="Microsoft YaHei"/>
          <w:b w:val="0"/>
          <w:color w:val="000000"/>
          <w:sz w:val="22"/>
        </w:rPr>
        <w:t>The thesis follows the problem, literature, research gap, proposed method, experiments and discussion. Feature engineering and model reduction are steps in constructing outcome probabilities. Feature selection produced a 36-input subset.</w:t>
      </w:r>
    </w:p>
    <w:p>
      <w:pPr>
        <w:pStyle w:val="Heading2"/>
      </w:pPr>
      <w:r>
        <w:rPr>
          <w:rFonts w:ascii="Arial" w:hAnsi="Arial" w:eastAsia="Microsoft YaHei"/>
          <w:b/>
          <w:color w:val="000000"/>
          <w:sz w:val="24"/>
        </w:rPr>
        <w:t>Overall answer from this study</w:t>
      </w:r>
    </w:p>
    <w:p>
      <w:pPr>
        <w:widowControl/>
      </w:pPr>
      <w:r>
        <w:rPr>
          <w:rFonts w:ascii="Arial" w:hAnsi="Arial" w:eastAsia="Microsoft YaHei"/>
          <w:b w:val="0"/>
          <w:color w:val="000000"/>
          <w:sz w:val="22"/>
        </w:rPr>
        <w:t>Retrospective evidence supports measurable historical-statistics probability models and improved probability scores from LR-guided Poisson. It does not establish deterministic predictability, improvement in every metric or stable market superiority. Later sections distinguish the methodological rationale from the empirical evidence.</w:t>
      </w:r>
    </w:p>
    <w:p>
      <w:r>
        <w:br w:type="page"/>
      </w:r>
    </w:p>
    <w:p>
      <w:pPr>
        <w:pStyle w:val="Heading1"/>
      </w:pPr>
      <w:r>
        <w:rPr>
          <w:rFonts w:ascii="Arial" w:hAnsi="Arial" w:eastAsia="Microsoft YaHei"/>
          <w:b/>
          <w:color w:val="000000"/>
          <w:sz w:val="30"/>
        </w:rPr>
        <w:t>Literature Methods and Their Relevance</w:t>
      </w:r>
    </w:p>
    <w:p>
      <w:pPr>
        <w:widowControl/>
      </w:pPr>
      <w:r>
        <w:rPr>
          <w:rFonts w:ascii="Arial" w:hAnsi="Arial" w:eastAsia="Microsoft YaHei"/>
          <w:b w:val="0"/>
          <w:color w:val="000000"/>
          <w:sz w:val="22"/>
        </w:rPr>
        <w:t>This section summarises five local sources: Buchdahl on recent-form ratings; Atta Mills and Luiz on machine learning and feature analysis; Loukas on Poisson score structure; and Reade on chronological probability evaluation. It distinguishes each source's work from the steps implemented in this project.</w:t>
      </w:r>
    </w:p>
    <w:p>
      <w:pPr>
        <w:pStyle w:val="Heading2"/>
      </w:pPr>
      <w:r>
        <w:rPr>
          <w:rFonts w:ascii="Arial" w:hAnsi="Arial" w:eastAsia="Microsoft YaHei"/>
          <w:b/>
          <w:color w:val="000000"/>
          <w:sz w:val="24"/>
        </w:rPr>
        <w:t>From team ratings to probabilities</w:t>
      </w:r>
    </w:p>
    <w:p>
      <w:pPr>
        <w:widowControl/>
      </w:pPr>
      <w:r>
        <w:rPr>
          <w:rFonts w:ascii="Arial" w:hAnsi="Arial" w:eastAsia="Microsoft YaHei"/>
          <w:b w:val="0"/>
          <w:color w:val="000000"/>
          <w:sz w:val="22"/>
        </w:rPr>
        <w:t>Buchdahl 2003 maps recent six-match goal-difference ratings to outcome probabilities. This study uses historical windows and team-state inputs, then evaluates probability forecasts on matched league fixtures.</w:t>
      </w:r>
    </w:p>
    <w:p>
      <w:pPr>
        <w:pStyle w:val="Heading2"/>
      </w:pPr>
      <w:r>
        <w:rPr>
          <w:rFonts w:ascii="Arial" w:hAnsi="Arial" w:eastAsia="Microsoft YaHei"/>
          <w:b/>
          <w:color w:val="000000"/>
          <w:sz w:val="24"/>
        </w:rPr>
        <w:t>Machine learning and feature engineering</w:t>
      </w:r>
    </w:p>
    <w:p>
      <w:pPr>
        <w:widowControl/>
      </w:pPr>
      <w:r>
        <w:rPr>
          <w:rFonts w:ascii="Arial" w:hAnsi="Arial" w:eastAsia="Microsoft YaHei"/>
          <w:b w:val="0"/>
          <w:color w:val="000000"/>
          <w:sz w:val="22"/>
        </w:rPr>
        <w:t>Atta Mills and colleagues in 2024 compare machine-learning and neural models with engineered team-state inputs. They explicitly include half-time results and goals for in-game decisions, and their importance table also includes odds. Their performance is therefore not a direct target for a no-odds, strictly pre-match task. They retain all nonzero-importance inputs rather than establish that deleting low-ranked inputs improves prediction.</w:t>
      </w:r>
    </w:p>
    <w:p>
      <w:pPr>
        <w:widowControl/>
      </w:pPr>
      <w:r>
        <w:rPr>
          <w:rFonts w:ascii="Arial" w:hAnsi="Arial" w:eastAsia="Microsoft YaHei"/>
          <w:b w:val="0"/>
          <w:color w:val="000000"/>
          <w:sz w:val="22"/>
        </w:rPr>
        <w:t>Luiz and colleagues in 2024 use neural networks, team ratings, relative capabilities and permutation importance. This motivates testing historical windows, relative features and input contribution. Some WhoScored inputs are unavailable here, so their rankings cannot be copied directly into our feature list.</w:t>
      </w:r>
    </w:p>
    <w:p>
      <w:pPr>
        <w:pStyle w:val="Heading2"/>
      </w:pPr>
      <w:r>
        <w:rPr>
          <w:rFonts w:ascii="Arial" w:hAnsi="Arial" w:eastAsia="Microsoft YaHei"/>
          <w:b/>
          <w:color w:val="000000"/>
          <w:sz w:val="24"/>
        </w:rPr>
        <w:t>From goals to a score distribution</w:t>
      </w:r>
    </w:p>
    <w:p>
      <w:pPr>
        <w:widowControl/>
      </w:pPr>
      <w:r>
        <w:rPr>
          <w:rFonts w:ascii="Arial" w:hAnsi="Arial" w:eastAsia="Microsoft YaHei"/>
          <w:b w:val="0"/>
          <w:color w:val="000000"/>
          <w:sz w:val="22"/>
        </w:rPr>
        <w:t>Loukas and colleagues in 2024 estimate goal intensities from attack, defence and home advantage, then generate scores and outcomes using independent Poisson distributions. Some within-season assessments use full-season parameters; they also conduct a separate 50-match test using the first 19 rounds to predict the next five. It would be incorrect to omit that independent test. They also report underestimating 0–0 outcomes.</w:t>
      </w:r>
    </w:p>
    <w:p>
      <w:pPr>
        <w:pStyle w:val="Heading2"/>
      </w:pPr>
      <w:r>
        <w:rPr>
          <w:rFonts w:ascii="Arial" w:hAnsi="Arial" w:eastAsia="Microsoft YaHei"/>
          <w:b/>
          <w:color w:val="000000"/>
          <w:sz w:val="24"/>
        </w:rPr>
        <w:t>What the literature supplies</w:t>
      </w:r>
    </w:p>
    <w:p>
      <w:pPr>
        <w:widowControl/>
      </w:pPr>
      <w:r>
        <w:rPr>
          <w:rFonts w:ascii="Arial" w:hAnsi="Arial" w:eastAsia="Microsoft YaHei"/>
          <w:b w:val="0"/>
          <w:color w:val="000000"/>
          <w:sz w:val="22"/>
        </w:rPr>
        <w:t>Reade and colleagues 2020 use bivariate Poisson with a rolling prior year, assessing scores, outcomes and markets separately; probability advantages do not guarantee profits. The five retained league-related PDFs were checked. The detailed Chinese review and practical method mapping are in docs/literature_review_CN.md and docs/literature_method_mapping_CN.md.</w:t>
      </w:r>
    </w:p>
    <w:p>
      <w:r>
        <w:br w:type="page"/>
      </w:r>
    </w:p>
    <w:p>
      <w:pPr>
        <w:pStyle w:val="Heading1"/>
      </w:pPr>
      <w:r>
        <w:rPr>
          <w:rFonts w:ascii="Arial" w:hAnsi="Arial" w:eastAsia="Microsoft YaHei"/>
          <w:b/>
          <w:color w:val="000000"/>
          <w:sz w:val="30"/>
        </w:rPr>
        <w:t>From Research Gaps to Our Method</w:t>
      </w:r>
    </w:p>
    <w:p>
      <w:pPr>
        <w:pStyle w:val="Heading2"/>
      </w:pPr>
      <w:r>
        <w:rPr>
          <w:rFonts w:ascii="Arial" w:hAnsi="Arial" w:eastAsia="Microsoft YaHei"/>
          <w:b/>
          <w:color w:val="000000"/>
          <w:sz w:val="24"/>
        </w:rPr>
        <w:t>Boundaries the study must address</w:t>
      </w:r>
    </w:p>
    <w:p>
      <w:pPr>
        <w:widowControl/>
      </w:pPr>
      <w:r>
        <w:rPr>
          <w:rFonts w:ascii="Arial" w:hAnsi="Arial" w:eastAsia="Microsoft YaHei"/>
          <w:b w:val="0"/>
          <w:color w:val="000000"/>
          <w:sz w:val="22"/>
        </w:rPr>
        <w:t>First, pre-match, in-play and odds-based tasks use different information, so results require matched information sets. Second, overlapping historical inputs require refitted subset comparisons; importance rankings alone do not establish redundancy. Third, within-season performance or a small independent sample does not answer this project's multi-season question, which needs chronological evaluation.</w:t>
      </w:r>
    </w:p>
    <w:p>
      <w:pPr>
        <w:widowControl/>
      </w:pPr>
      <w:r>
        <w:rPr>
          <w:rFonts w:ascii="Arial" w:hAnsi="Arial" w:eastAsia="Microsoft YaHei"/>
          <w:b w:val="0"/>
          <w:color w:val="000000"/>
          <w:sz w:val="22"/>
        </w:rPr>
        <w:t>Fourth, a direct outcome classifier supplies only three class probabilities, whereas Poisson supplies a complete score structure. Their complementary representations motivate our combination. This does not assume that every classifier outperforms every Poisson model.</w:t>
      </w:r>
    </w:p>
    <w:p>
      <w:pPr>
        <w:pStyle w:val="Heading2"/>
      </w:pPr>
      <w:r>
        <w:rPr>
          <w:rFonts w:ascii="Arial" w:hAnsi="Arial" w:eastAsia="Microsoft YaHei"/>
          <w:b/>
          <w:color w:val="000000"/>
          <w:sz w:val="24"/>
        </w:rPr>
        <w:t>Proposed methodology</w:t>
      </w:r>
    </w:p>
    <w:p>
      <w:pPr>
        <w:widowControl/>
      </w:pPr>
      <w:r>
        <w:rPr>
          <w:rFonts w:ascii="Arial" w:hAnsi="Arial" w:eastAsia="Microsoft YaHei"/>
          <w:b w:val="0"/>
          <w:color w:val="000000"/>
          <w:sz w:val="22"/>
        </w:rPr>
        <w:t>1. Construct strictly pre-match historical inputs and establish outcome classifiers, including LR; keep odds as an external benchmark.</w:t>
      </w:r>
    </w:p>
    <w:p>
      <w:pPr>
        <w:widowControl/>
      </w:pPr>
      <w:r>
        <w:rPr>
          <w:rFonts w:ascii="Arial" w:hAnsi="Arial" w:eastAsia="Microsoft YaHei"/>
          <w:b w:val="0"/>
          <w:color w:val="000000"/>
          <w:sz w:val="22"/>
        </w:rPr>
        <w:t>2. Recompute importance, correlations and candidate comparisons to select a reduced LR, then compare it with the original under controlled settings.</w:t>
      </w:r>
    </w:p>
    <w:p>
      <w:pPr>
        <w:widowControl/>
      </w:pPr>
      <w:r>
        <w:rPr>
          <w:rFonts w:ascii="Arial" w:hAnsi="Arial" w:eastAsia="Microsoft YaHei"/>
          <w:b w:val="0"/>
          <w:color w:val="000000"/>
          <w:sz w:val="22"/>
        </w:rPr>
        <w:t>3. Preserve the Poisson attack/defence fit and score structure while reweighting its away, draw and home regions to match the chosen LR probabilities.</w:t>
      </w:r>
    </w:p>
    <w:p>
      <w:pPr>
        <w:widowControl/>
      </w:pPr>
      <w:r>
        <w:rPr>
          <w:rFonts w:ascii="Arial" w:hAnsi="Arial" w:eastAsia="Microsoft YaHei"/>
          <w:b w:val="0"/>
          <w:color w:val="000000"/>
          <w:sz w:val="22"/>
        </w:rPr>
        <w:t>4. Evaluate pure Poisson, original-LR fusion and reduced-LR fusion on identical matches and time boundaries, separating probability scores, exact-score accuracy and goal error.</w:t>
      </w:r>
    </w:p>
    <w:p>
      <w:pPr>
        <w:widowControl/>
      </w:pPr>
      <w:r>
        <w:rPr>
          <w:rFonts w:ascii="Arial" w:hAnsi="Arial" w:eastAsia="Microsoft YaHei"/>
          <w:b w:val="0"/>
          <w:color w:val="000000"/>
          <w:sz w:val="22"/>
        </w:rPr>
        <w:t>Regression here means the Logistic Regression outcome classifier. It guides score-region probabilities rather than uniquely recovering two goal intensities from three class probabilities or replacing the Poisson parameter estimator.</w:t>
      </w:r>
    </w:p>
    <w:p>
      <w:pPr>
        <w:pStyle w:val="Heading2"/>
      </w:pPr>
      <w:r>
        <w:rPr>
          <w:rFonts w:ascii="Arial" w:hAnsi="Arial" w:eastAsia="Microsoft YaHei"/>
          <w:b/>
          <w:color w:val="000000"/>
          <w:sz w:val="24"/>
        </w:rPr>
        <w:t>Hypothesis and contribution</w:t>
      </w:r>
    </w:p>
    <w:p>
      <w:pPr>
        <w:widowControl/>
      </w:pPr>
      <w:r>
        <w:rPr>
          <w:rFonts w:ascii="Arial" w:hAnsi="Arial" w:eastAsia="Microsoft YaHei"/>
          <w:b w:val="0"/>
          <w:color w:val="000000"/>
          <w:sz w:val="22"/>
        </w:rPr>
        <w:t>The hypothesis is that more suitable outcome probabilities can improve Poisson's probability scores; the data determine whether this happens. Within-region score ratios remain unchanged. Improvements in the mode, MAE or 0–0 probability are not guaranteed, and this is not a zero-inflation correction. The contribution is reproducible integration and controlled evaluation under strict information timing, not a claim of first invention or universal superiority.</w:t>
      </w:r>
    </w:p>
    <w:p>
      <w:r>
        <w:br w:type="page"/>
      </w:r>
    </w:p>
    <w:p>
      <w:pPr>
        <w:pStyle w:val="Heading1"/>
      </w:pPr>
      <w:r>
        <w:rPr>
          <w:rFonts w:ascii="Arial" w:hAnsi="Arial" w:eastAsia="Microsoft YaHei"/>
          <w:b/>
          <w:color w:val="000000"/>
          <w:sz w:val="30"/>
        </w:rPr>
        <w:t>Why LR and How the Fusion Is Positioned</w:t>
      </w:r>
    </w:p>
    <w:p>
      <w:pPr>
        <w:pStyle w:val="Heading2"/>
      </w:pPr>
      <w:r>
        <w:rPr>
          <w:rFonts w:ascii="Arial" w:hAnsi="Arial" w:eastAsia="Microsoft YaHei"/>
          <w:b/>
          <w:color w:val="000000"/>
          <w:sz w:val="24"/>
        </w:rPr>
        <w:t>Why LR fits this project</w:t>
      </w:r>
    </w:p>
    <w:p>
      <w:pPr>
        <w:widowControl/>
      </w:pPr>
      <w:r>
        <w:rPr>
          <w:rFonts w:ascii="Arial" w:hAnsi="Arial" w:eastAsia="Microsoft YaHei"/>
          <w:b w:val="0"/>
          <w:color w:val="000000"/>
          <w:sz w:val="22"/>
        </w:rPr>
        <w:t>LR directly supplies outcome probabilities with a relatively simple parameter structure. It supports interpretable input reduction and inexpensive seasonal replication, and its outputs connect to Poisson outcome regions. These are design reasons, not proof of universal superiority; forests and neural networks also produce probabilities.</w:t>
      </w:r>
    </w:p>
    <w:p>
      <w:pPr>
        <w:widowControl/>
      </w:pPr>
      <w:r>
        <w:rPr>
          <w:rFonts w:ascii="Arial" w:hAnsi="Arial" w:eastAsia="Microsoft YaHei"/>
          <w:b w:val="0"/>
          <w:color w:val="000000"/>
          <w:sz w:val="22"/>
        </w:rPr>
        <w:t>The historical full66 RF baseline reached about 45.99% accuracy, above original LR at 45.63%. The current reduced LR reaches 46.07%, but differences across pipelines cannot all be attributed to the algorithm. The clearest current evidence is the controlled LR66 versus LR36 comparison. Broader algorithm ranking needs common inputs and comparable tuning budgets.</w:t>
      </w:r>
    </w:p>
    <w:p>
      <w:pPr>
        <w:pStyle w:val="Heading2"/>
      </w:pPr>
      <w:r>
        <w:rPr>
          <w:rFonts w:ascii="Arial" w:hAnsi="Arial" w:eastAsia="Microsoft YaHei"/>
          <w:b/>
          <w:color w:val="000000"/>
          <w:sz w:val="24"/>
        </w:rPr>
        <w:t>Related work and theoretical position</w:t>
      </w:r>
    </w:p>
    <w:p>
      <w:pPr>
        <w:widowControl/>
      </w:pPr>
      <w:r>
        <w:rPr>
          <w:rFonts w:ascii="Arial" w:hAnsi="Arial" w:eastAsia="Microsoft YaHei"/>
          <w:b w:val="0"/>
          <w:color w:val="000000"/>
          <w:sz w:val="22"/>
        </w:rPr>
        <w:t>Goddard 2005 compares goal and outcome regressions and hybrids. A paper by Perez-Blanco and Salmeron, online in 2025, proposes draw probabilities helping Dixon-Coles as future work; it does not validate our scheme.</w:t>
      </w:r>
    </w:p>
    <w:p>
      <w:pPr>
        <w:widowControl/>
      </w:pPr>
      <w:r>
        <w:rPr>
          <w:rFonts w:ascii="Arial" w:hAnsi="Arial" w:eastAsia="Microsoft YaHei"/>
          <w:b w:val="0"/>
          <w:color w:val="000000"/>
          <w:sz w:val="22"/>
        </w:rPr>
        <w:t>A public project, football_agent_predictor, describes reweighting Poisson scores to match 1X2 probabilities in its README. Its source page could not be retrieved and it is not peer-reviewed evidence. Our partition update has the form of established Jeffrey conditioning and minimum relative entropy updating. The Chinese review provides primary links and inspection limits.</w:t>
      </w:r>
    </w:p>
    <w:p>
      <w:pPr>
        <w:pStyle w:val="Heading2"/>
      </w:pPr>
      <w:r>
        <w:rPr>
          <w:rFonts w:ascii="Arial" w:hAnsi="Arial" w:eastAsia="Microsoft YaHei"/>
          <w:b/>
          <w:color w:val="000000"/>
          <w:sz w:val="24"/>
        </w:rPr>
        <w:t>Scope of the contribution</w:t>
      </w:r>
    </w:p>
    <w:p>
      <w:pPr>
        <w:widowControl/>
      </w:pPr>
      <w:r>
        <w:rPr>
          <w:rFonts w:ascii="Arial" w:hAnsi="Arial" w:eastAsia="Microsoft YaHei"/>
          <w:b w:val="0"/>
          <w:color w:val="000000"/>
          <w:sz w:val="22"/>
        </w:rPr>
        <w:t>The contribution is integration under strict pre-match timing, controlled feature reduction, complete-season comparisons and analysis of the mechanism. Current evidence supports improved probability scores, not universal LR superiority, improvement on every score metric or first invention of the update. The data and experimental sections use this scope.</w:t>
      </w:r>
    </w:p>
    <w:p>
      <w:r>
        <w:br w:type="page"/>
      </w:r>
    </w:p>
    <w:p>
      <w:pPr>
        <w:pStyle w:val="Heading1"/>
      </w:pPr>
      <w:r>
        <w:rPr>
          <w:rFonts w:ascii="Arial" w:hAnsi="Arial" w:eastAsia="Microsoft YaHei"/>
          <w:b/>
          <w:color w:val="000000"/>
          <w:sz w:val="30"/>
        </w:rPr>
        <w:t>Data Scope and Season Boundaries</w:t>
      </w:r>
    </w:p>
    <w:p>
      <w:pPr>
        <w:widowControl/>
      </w:pPr>
      <w:r>
        <w:rPr>
          <w:rFonts w:ascii="Arial" w:hAnsi="Arial" w:eastAsia="Microsoft YaHei"/>
          <w:b w:val="0"/>
          <w:color w:val="000000"/>
          <w:sz w:val="22"/>
        </w:rPr>
        <w:t>The data comprise 28 football-data.co.uk CSV files for E0 Premier League, E1 Championship, E2 League One and E3 League Two, covering 2019/20 to 2025/26. There are 13,988 matches. The initial 1,772 matches provide training history only; six expanding-window tests cover 12,216 matches, with 2,036 per test season.</w:t>
      </w:r>
    </w:p>
    <w:tbl>
      <w:tblPr>
        <w:tblW w:type="auto" w:w="0"/>
        <w:jc w:val="center"/>
        <w:tblLayout w:type="fixed"/>
        <w:tblLook w:firstColumn="1" w:firstRow="1" w:lastColumn="0" w:lastRow="0" w:noHBand="0" w:noVBand="1" w:val="04A0"/>
      </w:tblPr>
      <w:tblGrid>
        <w:gridCol w:w="3096"/>
        <w:gridCol w:w="2232"/>
        <w:gridCol w:w="2232"/>
        <w:gridCol w:w="2232"/>
      </w:tblGrid>
      <w:tr>
        <w:trPr>
          <w:cantSplit/>
          <w:tblHeader/>
        </w:trPr>
        <w:tc>
          <w:tcPr>
            <w:tcW w:type="dxa" w:w="3096"/>
            <w:vAlign w:val="center"/>
            <w:tcMar>
              <w:top w:w="65" w:type="dxa"/>
              <w:left w:w="65" w:type="dxa"/>
              <w:bottom w:w="65" w:type="dxa"/>
              <w:right w:w="65" w:type="dxa"/>
            </w:tcMar>
            <w:shd w:fill="DCE6EF"/>
            <w:tcBorders>
              <w:top w:val="single" w:sz="4" w:color="D9D9D9"/>
              <w:left w:val="single" w:sz="4" w:color="D9D9D9"/>
              <w:bottom w:val="single" w:sz="4" w:color="D9D9D9"/>
              <w:right w:val="single" w:sz="4" w:color="D9D9D9"/>
            </w:tcBorders>
          </w:tcPr>
          <w:p>
            <w:pPr>
              <w:spacing w:after="0" w:line="264" w:lineRule="auto"/>
              <w:jc w:val="left"/>
            </w:pPr>
            <w:r>
              <w:rPr>
                <w:rFonts w:ascii="Arial" w:hAnsi="Arial" w:eastAsia="Microsoft YaHei"/>
                <w:b/>
                <w:color w:val="000000"/>
                <w:sz w:val="19"/>
              </w:rPr>
              <w:t>Test season</w:t>
            </w:r>
          </w:p>
        </w:tc>
        <w:tc>
          <w:tcPr>
            <w:tcW w:type="dxa" w:w="2232"/>
            <w:vAlign w:val="center"/>
            <w:tcMar>
              <w:top w:w="65" w:type="dxa"/>
              <w:left w:w="65" w:type="dxa"/>
              <w:bottom w:w="65" w:type="dxa"/>
              <w:right w:w="65" w:type="dxa"/>
            </w:tcMar>
            <w:shd w:fill="DCE6EF"/>
            <w:tcBorders>
              <w:top w:val="single" w:sz="4" w:color="D9D9D9"/>
              <w:left w:val="single" w:sz="4" w:color="D9D9D9"/>
              <w:bottom w:val="single" w:sz="4" w:color="D9D9D9"/>
              <w:right w:val="single" w:sz="4" w:color="D9D9D9"/>
            </w:tcBorders>
          </w:tcPr>
          <w:p>
            <w:pPr>
              <w:spacing w:after="0" w:line="264" w:lineRule="auto"/>
              <w:jc w:val="center"/>
            </w:pPr>
            <w:r>
              <w:rPr>
                <w:rFonts w:ascii="Arial" w:hAnsi="Arial" w:eastAsia="Microsoft YaHei"/>
                <w:b/>
                <w:color w:val="000000"/>
                <w:sz w:val="19"/>
              </w:rPr>
              <w:t>Training seasons</w:t>
            </w:r>
          </w:p>
        </w:tc>
        <w:tc>
          <w:tcPr>
            <w:tcW w:type="dxa" w:w="2232"/>
            <w:vAlign w:val="center"/>
            <w:tcMar>
              <w:top w:w="65" w:type="dxa"/>
              <w:left w:w="65" w:type="dxa"/>
              <w:bottom w:w="65" w:type="dxa"/>
              <w:right w:w="65" w:type="dxa"/>
            </w:tcMar>
            <w:shd w:fill="DCE6EF"/>
            <w:tcBorders>
              <w:top w:val="single" w:sz="4" w:color="D9D9D9"/>
              <w:left w:val="single" w:sz="4" w:color="D9D9D9"/>
              <w:bottom w:val="single" w:sz="4" w:color="D9D9D9"/>
              <w:right w:val="single" w:sz="4" w:color="D9D9D9"/>
            </w:tcBorders>
          </w:tcPr>
          <w:p>
            <w:pPr>
              <w:spacing w:after="0" w:line="264" w:lineRule="auto"/>
              <w:jc w:val="center"/>
            </w:pPr>
            <w:r>
              <w:rPr>
                <w:rFonts w:ascii="Arial" w:hAnsi="Arial" w:eastAsia="Microsoft YaHei"/>
                <w:b/>
                <w:color w:val="000000"/>
                <w:sz w:val="19"/>
              </w:rPr>
              <w:t>Train n</w:t>
            </w:r>
          </w:p>
        </w:tc>
        <w:tc>
          <w:tcPr>
            <w:tcW w:type="dxa" w:w="2232"/>
            <w:vAlign w:val="center"/>
            <w:tcMar>
              <w:top w:w="65" w:type="dxa"/>
              <w:left w:w="65" w:type="dxa"/>
              <w:bottom w:w="65" w:type="dxa"/>
              <w:right w:w="65" w:type="dxa"/>
            </w:tcMar>
            <w:shd w:fill="DCE6EF"/>
            <w:tcBorders>
              <w:top w:val="single" w:sz="4" w:color="D9D9D9"/>
              <w:left w:val="single" w:sz="4" w:color="D9D9D9"/>
              <w:bottom w:val="single" w:sz="4" w:color="D9D9D9"/>
              <w:right w:val="single" w:sz="4" w:color="D9D9D9"/>
            </w:tcBorders>
          </w:tcPr>
          <w:p>
            <w:pPr>
              <w:spacing w:after="0" w:line="264" w:lineRule="auto"/>
              <w:jc w:val="center"/>
            </w:pPr>
            <w:r>
              <w:rPr>
                <w:rFonts w:ascii="Arial" w:hAnsi="Arial" w:eastAsia="Microsoft YaHei"/>
                <w:b/>
                <w:color w:val="000000"/>
                <w:sz w:val="19"/>
              </w:rPr>
              <w:t>Test n</w:t>
            </w:r>
          </w:p>
        </w:tc>
      </w:tr>
      <w:tr>
        <w:trPr>
          <w:cantSplit/>
        </w:trPr>
        <w:tc>
          <w:tcPr>
            <w:tcW w:type="dxa" w:w="3096"/>
            <w:vAlign w:val="center"/>
            <w:tcMar>
              <w:top w:w="65" w:type="dxa"/>
              <w:left w:w="65" w:type="dxa"/>
              <w:bottom w:w="65" w:type="dxa"/>
              <w:right w:w="65" w:type="dxa"/>
            </w:tcMar>
            <w:shd w:fill="FFFFFF"/>
            <w:tcBorders>
              <w:top w:val="single" w:sz="4" w:color="D9D9D9"/>
              <w:left w:val="single" w:sz="4" w:color="D9D9D9"/>
              <w:bottom w:val="single" w:sz="4" w:color="D9D9D9"/>
              <w:right w:val="single" w:sz="4" w:color="D9D9D9"/>
            </w:tcBorders>
          </w:tcPr>
          <w:p>
            <w:pPr>
              <w:spacing w:after="0" w:line="264" w:lineRule="auto"/>
              <w:jc w:val="left"/>
            </w:pPr>
            <w:r>
              <w:rPr>
                <w:rFonts w:ascii="Arial" w:hAnsi="Arial" w:eastAsia="Microsoft YaHei"/>
                <w:b w:val="0"/>
                <w:color w:val="000000"/>
                <w:sz w:val="19"/>
              </w:rPr>
              <w:t>2020-21</w:t>
            </w:r>
          </w:p>
        </w:tc>
        <w:tc>
          <w:tcPr>
            <w:tcW w:type="dxa" w:w="2232"/>
            <w:vAlign w:val="center"/>
            <w:tcMar>
              <w:top w:w="65" w:type="dxa"/>
              <w:left w:w="65" w:type="dxa"/>
              <w:bottom w:w="65" w:type="dxa"/>
              <w:right w:w="65" w:type="dxa"/>
            </w:tcMar>
            <w:shd w:fill="FFFFFF"/>
            <w:tcBorders>
              <w:top w:val="single" w:sz="4" w:color="D9D9D9"/>
              <w:left w:val="single" w:sz="4" w:color="D9D9D9"/>
              <w:bottom w:val="single" w:sz="4" w:color="D9D9D9"/>
              <w:right w:val="single" w:sz="4" w:color="D9D9D9"/>
            </w:tcBorders>
          </w:tcPr>
          <w:p>
            <w:pPr>
              <w:spacing w:after="0" w:line="264" w:lineRule="auto"/>
              <w:jc w:val="center"/>
            </w:pPr>
            <w:r>
              <w:rPr>
                <w:rFonts w:ascii="Arial" w:hAnsi="Arial" w:eastAsia="Microsoft YaHei"/>
                <w:b w:val="0"/>
                <w:color w:val="000000"/>
                <w:sz w:val="19"/>
              </w:rPr>
              <w:t>2019/20</w:t>
            </w:r>
          </w:p>
        </w:tc>
        <w:tc>
          <w:tcPr>
            <w:tcW w:type="dxa" w:w="2232"/>
            <w:vAlign w:val="center"/>
            <w:tcMar>
              <w:top w:w="65" w:type="dxa"/>
              <w:left w:w="65" w:type="dxa"/>
              <w:bottom w:w="65" w:type="dxa"/>
              <w:right w:w="65" w:type="dxa"/>
            </w:tcMar>
            <w:shd w:fill="FFFFFF"/>
            <w:tcBorders>
              <w:top w:val="single" w:sz="4" w:color="D9D9D9"/>
              <w:left w:val="single" w:sz="4" w:color="D9D9D9"/>
              <w:bottom w:val="single" w:sz="4" w:color="D9D9D9"/>
              <w:right w:val="single" w:sz="4" w:color="D9D9D9"/>
            </w:tcBorders>
          </w:tcPr>
          <w:p>
            <w:pPr>
              <w:spacing w:after="0" w:line="264" w:lineRule="auto"/>
              <w:jc w:val="center"/>
            </w:pPr>
            <w:r>
              <w:rPr>
                <w:rFonts w:ascii="Arial" w:hAnsi="Arial" w:eastAsia="Microsoft YaHei"/>
                <w:b w:val="0"/>
                <w:color w:val="000000"/>
                <w:sz w:val="19"/>
              </w:rPr>
              <w:t>1772</w:t>
            </w:r>
          </w:p>
        </w:tc>
        <w:tc>
          <w:tcPr>
            <w:tcW w:type="dxa" w:w="2232"/>
            <w:vAlign w:val="center"/>
            <w:tcMar>
              <w:top w:w="65" w:type="dxa"/>
              <w:left w:w="65" w:type="dxa"/>
              <w:bottom w:w="65" w:type="dxa"/>
              <w:right w:w="65" w:type="dxa"/>
            </w:tcMar>
            <w:shd w:fill="FFFFFF"/>
            <w:tcBorders>
              <w:top w:val="single" w:sz="4" w:color="D9D9D9"/>
              <w:left w:val="single" w:sz="4" w:color="D9D9D9"/>
              <w:bottom w:val="single" w:sz="4" w:color="D9D9D9"/>
              <w:right w:val="single" w:sz="4" w:color="D9D9D9"/>
            </w:tcBorders>
          </w:tcPr>
          <w:p>
            <w:pPr>
              <w:spacing w:after="0" w:line="264" w:lineRule="auto"/>
              <w:jc w:val="center"/>
            </w:pPr>
            <w:r>
              <w:rPr>
                <w:rFonts w:ascii="Arial" w:hAnsi="Arial" w:eastAsia="Microsoft YaHei"/>
                <w:b w:val="0"/>
                <w:color w:val="000000"/>
                <w:sz w:val="19"/>
              </w:rPr>
              <w:t>2036</w:t>
            </w:r>
          </w:p>
        </w:tc>
      </w:tr>
      <w:tr>
        <w:trPr>
          <w:cantSplit/>
        </w:trPr>
        <w:tc>
          <w:tcPr>
            <w:tcW w:type="dxa" w:w="3096"/>
            <w:vAlign w:val="center"/>
            <w:tcMar>
              <w:top w:w="65" w:type="dxa"/>
              <w:left w:w="65" w:type="dxa"/>
              <w:bottom w:w="65" w:type="dxa"/>
              <w:right w:w="65" w:type="dxa"/>
            </w:tcMar>
            <w:shd w:fill="F4F6F8"/>
            <w:tcBorders>
              <w:top w:val="single" w:sz="4" w:color="D9D9D9"/>
              <w:left w:val="single" w:sz="4" w:color="D9D9D9"/>
              <w:bottom w:val="single" w:sz="4" w:color="D9D9D9"/>
              <w:right w:val="single" w:sz="4" w:color="D9D9D9"/>
            </w:tcBorders>
          </w:tcPr>
          <w:p>
            <w:pPr>
              <w:spacing w:after="0" w:line="264" w:lineRule="auto"/>
              <w:jc w:val="left"/>
            </w:pPr>
            <w:r>
              <w:rPr>
                <w:rFonts w:ascii="Arial" w:hAnsi="Arial" w:eastAsia="Microsoft YaHei"/>
                <w:b w:val="0"/>
                <w:color w:val="000000"/>
                <w:sz w:val="19"/>
              </w:rPr>
              <w:t>2021-22</w:t>
            </w:r>
          </w:p>
        </w:tc>
        <w:tc>
          <w:tcPr>
            <w:tcW w:type="dxa" w:w="2232"/>
            <w:vAlign w:val="center"/>
            <w:tcMar>
              <w:top w:w="65" w:type="dxa"/>
              <w:left w:w="65" w:type="dxa"/>
              <w:bottom w:w="65" w:type="dxa"/>
              <w:right w:w="65" w:type="dxa"/>
            </w:tcMar>
            <w:shd w:fill="F4F6F8"/>
            <w:tcBorders>
              <w:top w:val="single" w:sz="4" w:color="D9D9D9"/>
              <w:left w:val="single" w:sz="4" w:color="D9D9D9"/>
              <w:bottom w:val="single" w:sz="4" w:color="D9D9D9"/>
              <w:right w:val="single" w:sz="4" w:color="D9D9D9"/>
            </w:tcBorders>
          </w:tcPr>
          <w:p>
            <w:pPr>
              <w:spacing w:after="0" w:line="264" w:lineRule="auto"/>
              <w:jc w:val="center"/>
            </w:pPr>
            <w:r>
              <w:rPr>
                <w:rFonts w:ascii="Arial" w:hAnsi="Arial" w:eastAsia="Microsoft YaHei"/>
                <w:b w:val="0"/>
                <w:color w:val="000000"/>
                <w:sz w:val="19"/>
              </w:rPr>
              <w:t>2019/20–2020/21</w:t>
            </w:r>
          </w:p>
        </w:tc>
        <w:tc>
          <w:tcPr>
            <w:tcW w:type="dxa" w:w="2232"/>
            <w:vAlign w:val="center"/>
            <w:tcMar>
              <w:top w:w="65" w:type="dxa"/>
              <w:left w:w="65" w:type="dxa"/>
              <w:bottom w:w="65" w:type="dxa"/>
              <w:right w:w="65" w:type="dxa"/>
            </w:tcMar>
            <w:shd w:fill="F4F6F8"/>
            <w:tcBorders>
              <w:top w:val="single" w:sz="4" w:color="D9D9D9"/>
              <w:left w:val="single" w:sz="4" w:color="D9D9D9"/>
              <w:bottom w:val="single" w:sz="4" w:color="D9D9D9"/>
              <w:right w:val="single" w:sz="4" w:color="D9D9D9"/>
            </w:tcBorders>
          </w:tcPr>
          <w:p>
            <w:pPr>
              <w:spacing w:after="0" w:line="264" w:lineRule="auto"/>
              <w:jc w:val="center"/>
            </w:pPr>
            <w:r>
              <w:rPr>
                <w:rFonts w:ascii="Arial" w:hAnsi="Arial" w:eastAsia="Microsoft YaHei"/>
                <w:b w:val="0"/>
                <w:color w:val="000000"/>
                <w:sz w:val="19"/>
              </w:rPr>
              <w:t>3808</w:t>
            </w:r>
          </w:p>
        </w:tc>
        <w:tc>
          <w:tcPr>
            <w:tcW w:type="dxa" w:w="2232"/>
            <w:vAlign w:val="center"/>
            <w:tcMar>
              <w:top w:w="65" w:type="dxa"/>
              <w:left w:w="65" w:type="dxa"/>
              <w:bottom w:w="65" w:type="dxa"/>
              <w:right w:w="65" w:type="dxa"/>
            </w:tcMar>
            <w:shd w:fill="F4F6F8"/>
            <w:tcBorders>
              <w:top w:val="single" w:sz="4" w:color="D9D9D9"/>
              <w:left w:val="single" w:sz="4" w:color="D9D9D9"/>
              <w:bottom w:val="single" w:sz="4" w:color="D9D9D9"/>
              <w:right w:val="single" w:sz="4" w:color="D9D9D9"/>
            </w:tcBorders>
          </w:tcPr>
          <w:p>
            <w:pPr>
              <w:spacing w:after="0" w:line="264" w:lineRule="auto"/>
              <w:jc w:val="center"/>
            </w:pPr>
            <w:r>
              <w:rPr>
                <w:rFonts w:ascii="Arial" w:hAnsi="Arial" w:eastAsia="Microsoft YaHei"/>
                <w:b w:val="0"/>
                <w:color w:val="000000"/>
                <w:sz w:val="19"/>
              </w:rPr>
              <w:t>2036</w:t>
            </w:r>
          </w:p>
        </w:tc>
      </w:tr>
      <w:tr>
        <w:trPr>
          <w:cantSplit/>
        </w:trPr>
        <w:tc>
          <w:tcPr>
            <w:tcW w:type="dxa" w:w="3096"/>
            <w:vAlign w:val="center"/>
            <w:tcMar>
              <w:top w:w="65" w:type="dxa"/>
              <w:left w:w="65" w:type="dxa"/>
              <w:bottom w:w="65" w:type="dxa"/>
              <w:right w:w="65" w:type="dxa"/>
            </w:tcMar>
            <w:shd w:fill="FFFFFF"/>
            <w:tcBorders>
              <w:top w:val="single" w:sz="4" w:color="D9D9D9"/>
              <w:left w:val="single" w:sz="4" w:color="D9D9D9"/>
              <w:bottom w:val="single" w:sz="4" w:color="D9D9D9"/>
              <w:right w:val="single" w:sz="4" w:color="D9D9D9"/>
            </w:tcBorders>
          </w:tcPr>
          <w:p>
            <w:pPr>
              <w:spacing w:after="0" w:line="264" w:lineRule="auto"/>
              <w:jc w:val="left"/>
            </w:pPr>
            <w:r>
              <w:rPr>
                <w:rFonts w:ascii="Arial" w:hAnsi="Arial" w:eastAsia="Microsoft YaHei"/>
                <w:b w:val="0"/>
                <w:color w:val="000000"/>
                <w:sz w:val="19"/>
              </w:rPr>
              <w:t>2022-23</w:t>
            </w:r>
          </w:p>
        </w:tc>
        <w:tc>
          <w:tcPr>
            <w:tcW w:type="dxa" w:w="2232"/>
            <w:vAlign w:val="center"/>
            <w:tcMar>
              <w:top w:w="65" w:type="dxa"/>
              <w:left w:w="65" w:type="dxa"/>
              <w:bottom w:w="65" w:type="dxa"/>
              <w:right w:w="65" w:type="dxa"/>
            </w:tcMar>
            <w:shd w:fill="FFFFFF"/>
            <w:tcBorders>
              <w:top w:val="single" w:sz="4" w:color="D9D9D9"/>
              <w:left w:val="single" w:sz="4" w:color="D9D9D9"/>
              <w:bottom w:val="single" w:sz="4" w:color="D9D9D9"/>
              <w:right w:val="single" w:sz="4" w:color="D9D9D9"/>
            </w:tcBorders>
          </w:tcPr>
          <w:p>
            <w:pPr>
              <w:spacing w:after="0" w:line="264" w:lineRule="auto"/>
              <w:jc w:val="center"/>
            </w:pPr>
            <w:r>
              <w:rPr>
                <w:rFonts w:ascii="Arial" w:hAnsi="Arial" w:eastAsia="Microsoft YaHei"/>
                <w:b w:val="0"/>
                <w:color w:val="000000"/>
                <w:sz w:val="19"/>
              </w:rPr>
              <w:t>2019/20–2021/22</w:t>
            </w:r>
          </w:p>
        </w:tc>
        <w:tc>
          <w:tcPr>
            <w:tcW w:type="dxa" w:w="2232"/>
            <w:vAlign w:val="center"/>
            <w:tcMar>
              <w:top w:w="65" w:type="dxa"/>
              <w:left w:w="65" w:type="dxa"/>
              <w:bottom w:w="65" w:type="dxa"/>
              <w:right w:w="65" w:type="dxa"/>
            </w:tcMar>
            <w:shd w:fill="FFFFFF"/>
            <w:tcBorders>
              <w:top w:val="single" w:sz="4" w:color="D9D9D9"/>
              <w:left w:val="single" w:sz="4" w:color="D9D9D9"/>
              <w:bottom w:val="single" w:sz="4" w:color="D9D9D9"/>
              <w:right w:val="single" w:sz="4" w:color="D9D9D9"/>
            </w:tcBorders>
          </w:tcPr>
          <w:p>
            <w:pPr>
              <w:spacing w:after="0" w:line="264" w:lineRule="auto"/>
              <w:jc w:val="center"/>
            </w:pPr>
            <w:r>
              <w:rPr>
                <w:rFonts w:ascii="Arial" w:hAnsi="Arial" w:eastAsia="Microsoft YaHei"/>
                <w:b w:val="0"/>
                <w:color w:val="000000"/>
                <w:sz w:val="19"/>
              </w:rPr>
              <w:t>5844</w:t>
            </w:r>
          </w:p>
        </w:tc>
        <w:tc>
          <w:tcPr>
            <w:tcW w:type="dxa" w:w="2232"/>
            <w:vAlign w:val="center"/>
            <w:tcMar>
              <w:top w:w="65" w:type="dxa"/>
              <w:left w:w="65" w:type="dxa"/>
              <w:bottom w:w="65" w:type="dxa"/>
              <w:right w:w="65" w:type="dxa"/>
            </w:tcMar>
            <w:shd w:fill="FFFFFF"/>
            <w:tcBorders>
              <w:top w:val="single" w:sz="4" w:color="D9D9D9"/>
              <w:left w:val="single" w:sz="4" w:color="D9D9D9"/>
              <w:bottom w:val="single" w:sz="4" w:color="D9D9D9"/>
              <w:right w:val="single" w:sz="4" w:color="D9D9D9"/>
            </w:tcBorders>
          </w:tcPr>
          <w:p>
            <w:pPr>
              <w:spacing w:after="0" w:line="264" w:lineRule="auto"/>
              <w:jc w:val="center"/>
            </w:pPr>
            <w:r>
              <w:rPr>
                <w:rFonts w:ascii="Arial" w:hAnsi="Arial" w:eastAsia="Microsoft YaHei"/>
                <w:b w:val="0"/>
                <w:color w:val="000000"/>
                <w:sz w:val="19"/>
              </w:rPr>
              <w:t>2036</w:t>
            </w:r>
          </w:p>
        </w:tc>
      </w:tr>
      <w:tr>
        <w:trPr>
          <w:cantSplit/>
        </w:trPr>
        <w:tc>
          <w:tcPr>
            <w:tcW w:type="dxa" w:w="3096"/>
            <w:vAlign w:val="center"/>
            <w:tcMar>
              <w:top w:w="65" w:type="dxa"/>
              <w:left w:w="65" w:type="dxa"/>
              <w:bottom w:w="65" w:type="dxa"/>
              <w:right w:w="65" w:type="dxa"/>
            </w:tcMar>
            <w:shd w:fill="F4F6F8"/>
            <w:tcBorders>
              <w:top w:val="single" w:sz="4" w:color="D9D9D9"/>
              <w:left w:val="single" w:sz="4" w:color="D9D9D9"/>
              <w:bottom w:val="single" w:sz="4" w:color="D9D9D9"/>
              <w:right w:val="single" w:sz="4" w:color="D9D9D9"/>
            </w:tcBorders>
          </w:tcPr>
          <w:p>
            <w:pPr>
              <w:spacing w:after="0" w:line="264" w:lineRule="auto"/>
              <w:jc w:val="left"/>
            </w:pPr>
            <w:r>
              <w:rPr>
                <w:rFonts w:ascii="Arial" w:hAnsi="Arial" w:eastAsia="Microsoft YaHei"/>
                <w:b w:val="0"/>
                <w:color w:val="000000"/>
                <w:sz w:val="19"/>
              </w:rPr>
              <w:t>2023-24</w:t>
            </w:r>
          </w:p>
        </w:tc>
        <w:tc>
          <w:tcPr>
            <w:tcW w:type="dxa" w:w="2232"/>
            <w:vAlign w:val="center"/>
            <w:tcMar>
              <w:top w:w="65" w:type="dxa"/>
              <w:left w:w="65" w:type="dxa"/>
              <w:bottom w:w="65" w:type="dxa"/>
              <w:right w:w="65" w:type="dxa"/>
            </w:tcMar>
            <w:shd w:fill="F4F6F8"/>
            <w:tcBorders>
              <w:top w:val="single" w:sz="4" w:color="D9D9D9"/>
              <w:left w:val="single" w:sz="4" w:color="D9D9D9"/>
              <w:bottom w:val="single" w:sz="4" w:color="D9D9D9"/>
              <w:right w:val="single" w:sz="4" w:color="D9D9D9"/>
            </w:tcBorders>
          </w:tcPr>
          <w:p>
            <w:pPr>
              <w:spacing w:after="0" w:line="264" w:lineRule="auto"/>
              <w:jc w:val="center"/>
            </w:pPr>
            <w:r>
              <w:rPr>
                <w:rFonts w:ascii="Arial" w:hAnsi="Arial" w:eastAsia="Microsoft YaHei"/>
                <w:b w:val="0"/>
                <w:color w:val="000000"/>
                <w:sz w:val="19"/>
              </w:rPr>
              <w:t>2019/20–2022/23</w:t>
            </w:r>
          </w:p>
        </w:tc>
        <w:tc>
          <w:tcPr>
            <w:tcW w:type="dxa" w:w="2232"/>
            <w:vAlign w:val="center"/>
            <w:tcMar>
              <w:top w:w="65" w:type="dxa"/>
              <w:left w:w="65" w:type="dxa"/>
              <w:bottom w:w="65" w:type="dxa"/>
              <w:right w:w="65" w:type="dxa"/>
            </w:tcMar>
            <w:shd w:fill="F4F6F8"/>
            <w:tcBorders>
              <w:top w:val="single" w:sz="4" w:color="D9D9D9"/>
              <w:left w:val="single" w:sz="4" w:color="D9D9D9"/>
              <w:bottom w:val="single" w:sz="4" w:color="D9D9D9"/>
              <w:right w:val="single" w:sz="4" w:color="D9D9D9"/>
            </w:tcBorders>
          </w:tcPr>
          <w:p>
            <w:pPr>
              <w:spacing w:after="0" w:line="264" w:lineRule="auto"/>
              <w:jc w:val="center"/>
            </w:pPr>
            <w:r>
              <w:rPr>
                <w:rFonts w:ascii="Arial" w:hAnsi="Arial" w:eastAsia="Microsoft YaHei"/>
                <w:b w:val="0"/>
                <w:color w:val="000000"/>
                <w:sz w:val="19"/>
              </w:rPr>
              <w:t>7880</w:t>
            </w:r>
          </w:p>
        </w:tc>
        <w:tc>
          <w:tcPr>
            <w:tcW w:type="dxa" w:w="2232"/>
            <w:vAlign w:val="center"/>
            <w:tcMar>
              <w:top w:w="65" w:type="dxa"/>
              <w:left w:w="65" w:type="dxa"/>
              <w:bottom w:w="65" w:type="dxa"/>
              <w:right w:w="65" w:type="dxa"/>
            </w:tcMar>
            <w:shd w:fill="F4F6F8"/>
            <w:tcBorders>
              <w:top w:val="single" w:sz="4" w:color="D9D9D9"/>
              <w:left w:val="single" w:sz="4" w:color="D9D9D9"/>
              <w:bottom w:val="single" w:sz="4" w:color="D9D9D9"/>
              <w:right w:val="single" w:sz="4" w:color="D9D9D9"/>
            </w:tcBorders>
          </w:tcPr>
          <w:p>
            <w:pPr>
              <w:spacing w:after="0" w:line="264" w:lineRule="auto"/>
              <w:jc w:val="center"/>
            </w:pPr>
            <w:r>
              <w:rPr>
                <w:rFonts w:ascii="Arial" w:hAnsi="Arial" w:eastAsia="Microsoft YaHei"/>
                <w:b w:val="0"/>
                <w:color w:val="000000"/>
                <w:sz w:val="19"/>
              </w:rPr>
              <w:t>2036</w:t>
            </w:r>
          </w:p>
        </w:tc>
      </w:tr>
      <w:tr>
        <w:trPr>
          <w:cantSplit/>
        </w:trPr>
        <w:tc>
          <w:tcPr>
            <w:tcW w:type="dxa" w:w="3096"/>
            <w:vAlign w:val="center"/>
            <w:tcMar>
              <w:top w:w="65" w:type="dxa"/>
              <w:left w:w="65" w:type="dxa"/>
              <w:bottom w:w="65" w:type="dxa"/>
              <w:right w:w="65" w:type="dxa"/>
            </w:tcMar>
            <w:shd w:fill="FFFFFF"/>
            <w:tcBorders>
              <w:top w:val="single" w:sz="4" w:color="D9D9D9"/>
              <w:left w:val="single" w:sz="4" w:color="D9D9D9"/>
              <w:bottom w:val="single" w:sz="4" w:color="D9D9D9"/>
              <w:right w:val="single" w:sz="4" w:color="D9D9D9"/>
            </w:tcBorders>
          </w:tcPr>
          <w:p>
            <w:pPr>
              <w:spacing w:after="0" w:line="264" w:lineRule="auto"/>
              <w:jc w:val="left"/>
            </w:pPr>
            <w:r>
              <w:rPr>
                <w:rFonts w:ascii="Arial" w:hAnsi="Arial" w:eastAsia="Microsoft YaHei"/>
                <w:b w:val="0"/>
                <w:color w:val="000000"/>
                <w:sz w:val="19"/>
              </w:rPr>
              <w:t>2024-25</w:t>
            </w:r>
          </w:p>
        </w:tc>
        <w:tc>
          <w:tcPr>
            <w:tcW w:type="dxa" w:w="2232"/>
            <w:vAlign w:val="center"/>
            <w:tcMar>
              <w:top w:w="65" w:type="dxa"/>
              <w:left w:w="65" w:type="dxa"/>
              <w:bottom w:w="65" w:type="dxa"/>
              <w:right w:w="65" w:type="dxa"/>
            </w:tcMar>
            <w:shd w:fill="FFFFFF"/>
            <w:tcBorders>
              <w:top w:val="single" w:sz="4" w:color="D9D9D9"/>
              <w:left w:val="single" w:sz="4" w:color="D9D9D9"/>
              <w:bottom w:val="single" w:sz="4" w:color="D9D9D9"/>
              <w:right w:val="single" w:sz="4" w:color="D9D9D9"/>
            </w:tcBorders>
          </w:tcPr>
          <w:p>
            <w:pPr>
              <w:spacing w:after="0" w:line="264" w:lineRule="auto"/>
              <w:jc w:val="center"/>
            </w:pPr>
            <w:r>
              <w:rPr>
                <w:rFonts w:ascii="Arial" w:hAnsi="Arial" w:eastAsia="Microsoft YaHei"/>
                <w:b w:val="0"/>
                <w:color w:val="000000"/>
                <w:sz w:val="19"/>
              </w:rPr>
              <w:t>2019/20–2023/24</w:t>
            </w:r>
          </w:p>
        </w:tc>
        <w:tc>
          <w:tcPr>
            <w:tcW w:type="dxa" w:w="2232"/>
            <w:vAlign w:val="center"/>
            <w:tcMar>
              <w:top w:w="65" w:type="dxa"/>
              <w:left w:w="65" w:type="dxa"/>
              <w:bottom w:w="65" w:type="dxa"/>
              <w:right w:w="65" w:type="dxa"/>
            </w:tcMar>
            <w:shd w:fill="FFFFFF"/>
            <w:tcBorders>
              <w:top w:val="single" w:sz="4" w:color="D9D9D9"/>
              <w:left w:val="single" w:sz="4" w:color="D9D9D9"/>
              <w:bottom w:val="single" w:sz="4" w:color="D9D9D9"/>
              <w:right w:val="single" w:sz="4" w:color="D9D9D9"/>
            </w:tcBorders>
          </w:tcPr>
          <w:p>
            <w:pPr>
              <w:spacing w:after="0" w:line="264" w:lineRule="auto"/>
              <w:jc w:val="center"/>
            </w:pPr>
            <w:r>
              <w:rPr>
                <w:rFonts w:ascii="Arial" w:hAnsi="Arial" w:eastAsia="Microsoft YaHei"/>
                <w:b w:val="0"/>
                <w:color w:val="000000"/>
                <w:sz w:val="19"/>
              </w:rPr>
              <w:t>9916</w:t>
            </w:r>
          </w:p>
        </w:tc>
        <w:tc>
          <w:tcPr>
            <w:tcW w:type="dxa" w:w="2232"/>
            <w:vAlign w:val="center"/>
            <w:tcMar>
              <w:top w:w="65" w:type="dxa"/>
              <w:left w:w="65" w:type="dxa"/>
              <w:bottom w:w="65" w:type="dxa"/>
              <w:right w:w="65" w:type="dxa"/>
            </w:tcMar>
            <w:shd w:fill="FFFFFF"/>
            <w:tcBorders>
              <w:top w:val="single" w:sz="4" w:color="D9D9D9"/>
              <w:left w:val="single" w:sz="4" w:color="D9D9D9"/>
              <w:bottom w:val="single" w:sz="4" w:color="D9D9D9"/>
              <w:right w:val="single" w:sz="4" w:color="D9D9D9"/>
            </w:tcBorders>
          </w:tcPr>
          <w:p>
            <w:pPr>
              <w:spacing w:after="0" w:line="264" w:lineRule="auto"/>
              <w:jc w:val="center"/>
            </w:pPr>
            <w:r>
              <w:rPr>
                <w:rFonts w:ascii="Arial" w:hAnsi="Arial" w:eastAsia="Microsoft YaHei"/>
                <w:b w:val="0"/>
                <w:color w:val="000000"/>
                <w:sz w:val="19"/>
              </w:rPr>
              <w:t>2036</w:t>
            </w:r>
          </w:p>
        </w:tc>
      </w:tr>
      <w:tr>
        <w:trPr>
          <w:cantSplit/>
        </w:trPr>
        <w:tc>
          <w:tcPr>
            <w:tcW w:type="dxa" w:w="3096"/>
            <w:vAlign w:val="center"/>
            <w:tcMar>
              <w:top w:w="65" w:type="dxa"/>
              <w:left w:w="65" w:type="dxa"/>
              <w:bottom w:w="65" w:type="dxa"/>
              <w:right w:w="65" w:type="dxa"/>
            </w:tcMar>
            <w:shd w:fill="F4F6F8"/>
            <w:tcBorders>
              <w:top w:val="single" w:sz="4" w:color="D9D9D9"/>
              <w:left w:val="single" w:sz="4" w:color="D9D9D9"/>
              <w:bottom w:val="single" w:sz="4" w:color="D9D9D9"/>
              <w:right w:val="single" w:sz="4" w:color="D9D9D9"/>
            </w:tcBorders>
          </w:tcPr>
          <w:p>
            <w:pPr>
              <w:spacing w:after="0" w:line="264" w:lineRule="auto"/>
              <w:jc w:val="left"/>
            </w:pPr>
            <w:r>
              <w:rPr>
                <w:rFonts w:ascii="Arial" w:hAnsi="Arial" w:eastAsia="Microsoft YaHei"/>
                <w:b w:val="0"/>
                <w:color w:val="000000"/>
                <w:sz w:val="19"/>
              </w:rPr>
              <w:t>2025-26</w:t>
            </w:r>
          </w:p>
        </w:tc>
        <w:tc>
          <w:tcPr>
            <w:tcW w:type="dxa" w:w="2232"/>
            <w:vAlign w:val="center"/>
            <w:tcMar>
              <w:top w:w="65" w:type="dxa"/>
              <w:left w:w="65" w:type="dxa"/>
              <w:bottom w:w="65" w:type="dxa"/>
              <w:right w:w="65" w:type="dxa"/>
            </w:tcMar>
            <w:shd w:fill="F4F6F8"/>
            <w:tcBorders>
              <w:top w:val="single" w:sz="4" w:color="D9D9D9"/>
              <w:left w:val="single" w:sz="4" w:color="D9D9D9"/>
              <w:bottom w:val="single" w:sz="4" w:color="D9D9D9"/>
              <w:right w:val="single" w:sz="4" w:color="D9D9D9"/>
            </w:tcBorders>
          </w:tcPr>
          <w:p>
            <w:pPr>
              <w:spacing w:after="0" w:line="264" w:lineRule="auto"/>
              <w:jc w:val="center"/>
            </w:pPr>
            <w:r>
              <w:rPr>
                <w:rFonts w:ascii="Arial" w:hAnsi="Arial" w:eastAsia="Microsoft YaHei"/>
                <w:b w:val="0"/>
                <w:color w:val="000000"/>
                <w:sz w:val="19"/>
              </w:rPr>
              <w:t>2019/20–2024/25</w:t>
            </w:r>
          </w:p>
        </w:tc>
        <w:tc>
          <w:tcPr>
            <w:tcW w:type="dxa" w:w="2232"/>
            <w:vAlign w:val="center"/>
            <w:tcMar>
              <w:top w:w="65" w:type="dxa"/>
              <w:left w:w="65" w:type="dxa"/>
              <w:bottom w:w="65" w:type="dxa"/>
              <w:right w:w="65" w:type="dxa"/>
            </w:tcMar>
            <w:shd w:fill="F4F6F8"/>
            <w:tcBorders>
              <w:top w:val="single" w:sz="4" w:color="D9D9D9"/>
              <w:left w:val="single" w:sz="4" w:color="D9D9D9"/>
              <w:bottom w:val="single" w:sz="4" w:color="D9D9D9"/>
              <w:right w:val="single" w:sz="4" w:color="D9D9D9"/>
            </w:tcBorders>
          </w:tcPr>
          <w:p>
            <w:pPr>
              <w:spacing w:after="0" w:line="264" w:lineRule="auto"/>
              <w:jc w:val="center"/>
            </w:pPr>
            <w:r>
              <w:rPr>
                <w:rFonts w:ascii="Arial" w:hAnsi="Arial" w:eastAsia="Microsoft YaHei"/>
                <w:b w:val="0"/>
                <w:color w:val="000000"/>
                <w:sz w:val="19"/>
              </w:rPr>
              <w:t>11952</w:t>
            </w:r>
          </w:p>
        </w:tc>
        <w:tc>
          <w:tcPr>
            <w:tcW w:type="dxa" w:w="2232"/>
            <w:vAlign w:val="center"/>
            <w:tcMar>
              <w:top w:w="65" w:type="dxa"/>
              <w:left w:w="65" w:type="dxa"/>
              <w:bottom w:w="65" w:type="dxa"/>
              <w:right w:w="65" w:type="dxa"/>
            </w:tcMar>
            <w:shd w:fill="F4F6F8"/>
            <w:tcBorders>
              <w:top w:val="single" w:sz="4" w:color="D9D9D9"/>
              <w:left w:val="single" w:sz="4" w:color="D9D9D9"/>
              <w:bottom w:val="single" w:sz="4" w:color="D9D9D9"/>
              <w:right w:val="single" w:sz="4" w:color="D9D9D9"/>
            </w:tcBorders>
          </w:tcPr>
          <w:p>
            <w:pPr>
              <w:spacing w:after="0" w:line="264" w:lineRule="auto"/>
              <w:jc w:val="center"/>
            </w:pPr>
            <w:r>
              <w:rPr>
                <w:rFonts w:ascii="Arial" w:hAnsi="Arial" w:eastAsia="Microsoft YaHei"/>
                <w:b w:val="0"/>
                <w:color w:val="000000"/>
                <w:sz w:val="19"/>
              </w:rPr>
              <w:t>2036</w:t>
            </w:r>
          </w:p>
        </w:tc>
      </w:tr>
    </w:tbl>
    <w:p>
      <w:pPr>
        <w:spacing w:after="20" w:line="96" w:lineRule="auto"/>
      </w:pPr>
    </w:p>
    <w:p>
      <w:pPr>
        <w:pStyle w:val="Heading2"/>
      </w:pPr>
      <w:r>
        <w:rPr>
          <w:rFonts w:ascii="Arial" w:hAnsi="Arial" w:eastAsia="Microsoft YaHei"/>
          <w:b/>
          <w:color w:val="000000"/>
          <w:sz w:val="24"/>
        </w:rPr>
        <w:t>Source files determine seasons</w:t>
      </w:r>
    </w:p>
    <w:p>
      <w:pPr>
        <w:widowControl/>
      </w:pPr>
      <w:r>
        <w:rPr>
          <w:rFonts w:ascii="Arial" w:hAnsi="Arial" w:eastAsia="Microsoft YaHei"/>
          <w:b w:val="0"/>
          <w:color w:val="000000"/>
          <w:sz w:val="22"/>
        </w:rPr>
        <w:t>Season IDs come from source filenames rather than a calendar-month boundary. Postponed matches played in July 2020 remain in 2019/20. The 35 July 2022 fixtures belong to 2022/23: 11 in E1 and 12 each in E2 and E3. No matches were removed or duplicated.</w:t>
      </w:r>
    </w:p>
    <w:p>
      <w:pPr>
        <w:pStyle w:val="Heading2"/>
      </w:pPr>
      <w:r>
        <w:rPr>
          <w:rFonts w:ascii="Arial" w:hAnsi="Arial" w:eastAsia="Microsoft YaHei"/>
          <w:b/>
          <w:color w:val="000000"/>
          <w:sz w:val="24"/>
        </w:rPr>
        <w:t>Timing of fitting and rolling inputs</w:t>
      </w:r>
    </w:p>
    <w:p>
      <w:pPr>
        <w:widowControl/>
      </w:pPr>
      <w:r>
        <w:rPr>
          <w:rFonts w:ascii="Arial" w:hAnsi="Arial" w:eastAsia="Microsoft YaHei"/>
          <w:b w:val="0"/>
          <w:color w:val="000000"/>
          <w:sz w:val="22"/>
        </w:rPr>
        <w:t>Both LR and Poisson are fitted on completed prior seasons and frozen throughout each test season. Team histories continue across seasons and promotion or relegation. Rolling inputs may use completed matches on earlier dates, including earlier test-season dates, but exclude current, same-day and future outcomes.</w:t>
      </w:r>
    </w:p>
    <w:p>
      <w:pPr>
        <w:widowControl/>
      </w:pPr>
      <w:r>
        <w:rPr>
          <w:rFonts w:ascii="Arial" w:hAnsi="Arial" w:eastAsia="Microsoft YaHei"/>
          <w:b w:val="0"/>
          <w:color w:val="000000"/>
          <w:sz w:val="22"/>
        </w:rPr>
        <w:t>Imputation uses training-only means. Historical shot statistics are permitted; current-match statistics, half-time information, odds and FootyStats are excluded from core inputs. Six folds mean six chronological seasonal tests, not random cross-validation. Walk-forward does not itself require changing features each season.</w:t>
      </w:r>
    </w:p>
    <w:p>
      <w:r>
        <w:br w:type="page"/>
      </w:r>
    </w:p>
    <w:p>
      <w:pPr>
        <w:pStyle w:val="Heading1"/>
      </w:pPr>
      <w:r>
        <w:rPr>
          <w:rFonts w:ascii="Arial" w:hAnsi="Arial" w:eastAsia="Microsoft YaHei"/>
          <w:b/>
          <w:color w:val="000000"/>
          <w:sz w:val="30"/>
        </w:rPr>
        <w:t>Fresh Feature Importance and Selection</w:t>
      </w:r>
    </w:p>
    <w:p>
      <w:pPr>
        <w:widowControl/>
      </w:pPr>
      <w:r>
        <w:rPr>
          <w:rFonts w:ascii="Arial" w:hAnsi="Arial" w:eastAsia="Microsoft YaHei"/>
          <w:b w:val="0"/>
          <w:color w:val="000000"/>
          <w:sz w:val="22"/>
        </w:rPr>
        <w:t>The run rebuilt the clean 66 inputs, recomputed importance and evaluated candidate subsets, selecting 36 features. Models trained on 2019/20 to 2021/22 were assessed with five within-division permutations on 2022/23. Rolling validation on 2023/24 and 2024/25 selected the lowest pooled Log Loss.</w:t>
      </w:r>
    </w:p>
    <w:tbl>
      <w:tblPr>
        <w:tblW w:type="auto" w:w="0"/>
        <w:jc w:val="center"/>
        <w:tblLayout w:type="fixed"/>
        <w:tblLook w:firstColumn="1" w:firstRow="1" w:lastColumn="0" w:lastRow="0" w:noHBand="0" w:noVBand="1" w:val="04A0"/>
      </w:tblPr>
      <w:tblGrid>
        <w:gridCol w:w="3960"/>
        <w:gridCol w:w="5832"/>
      </w:tblGrid>
      <w:tr>
        <w:trPr>
          <w:cantSplit/>
          <w:tblHeader/>
        </w:trPr>
        <w:tc>
          <w:tcPr>
            <w:tcW w:type="dxa" w:w="3960"/>
            <w:vAlign w:val="center"/>
            <w:tcMar>
              <w:top w:w="65" w:type="dxa"/>
              <w:left w:w="65" w:type="dxa"/>
              <w:bottom w:w="65" w:type="dxa"/>
              <w:right w:w="65" w:type="dxa"/>
            </w:tcMar>
            <w:shd w:fill="DCE6EF"/>
            <w:tcBorders>
              <w:top w:val="single" w:sz="4" w:color="D9D9D9"/>
              <w:left w:val="single" w:sz="4" w:color="D9D9D9"/>
              <w:bottom w:val="single" w:sz="4" w:color="D9D9D9"/>
              <w:right w:val="single" w:sz="4" w:color="D9D9D9"/>
            </w:tcBorders>
          </w:tcPr>
          <w:p>
            <w:pPr>
              <w:spacing w:after="0" w:line="264" w:lineRule="auto"/>
              <w:jc w:val="left"/>
            </w:pPr>
            <w:r>
              <w:rPr>
                <w:rFonts w:ascii="Arial" w:hAnsi="Arial" w:eastAsia="Microsoft YaHei"/>
                <w:b/>
                <w:color w:val="000000"/>
                <w:sz w:val="19"/>
              </w:rPr>
              <w:t>Leading importance feature</w:t>
            </w:r>
          </w:p>
        </w:tc>
        <w:tc>
          <w:tcPr>
            <w:tcW w:type="dxa" w:w="5832"/>
            <w:vAlign w:val="center"/>
            <w:tcMar>
              <w:top w:w="65" w:type="dxa"/>
              <w:left w:w="65" w:type="dxa"/>
              <w:bottom w:w="65" w:type="dxa"/>
              <w:right w:w="65" w:type="dxa"/>
            </w:tcMar>
            <w:shd w:fill="DCE6EF"/>
            <w:tcBorders>
              <w:top w:val="single" w:sz="4" w:color="D9D9D9"/>
              <w:left w:val="single" w:sz="4" w:color="D9D9D9"/>
              <w:bottom w:val="single" w:sz="4" w:color="D9D9D9"/>
              <w:right w:val="single" w:sz="4" w:color="D9D9D9"/>
            </w:tcBorders>
          </w:tcPr>
          <w:p>
            <w:pPr>
              <w:spacing w:after="0" w:line="264" w:lineRule="auto"/>
              <w:jc w:val="left"/>
            </w:pPr>
            <w:r>
              <w:rPr>
                <w:rFonts w:ascii="Arial" w:hAnsi="Arial" w:eastAsia="Microsoft YaHei"/>
                <w:b/>
                <w:color w:val="000000"/>
                <w:sz w:val="19"/>
              </w:rPr>
              <w:t>Permutation LL increase</w:t>
            </w:r>
          </w:p>
        </w:tc>
      </w:tr>
      <w:tr>
        <w:trPr>
          <w:cantSplit/>
        </w:trPr>
        <w:tc>
          <w:tcPr>
            <w:tcW w:type="dxa" w:w="3960"/>
            <w:vAlign w:val="center"/>
            <w:tcMar>
              <w:top w:w="65" w:type="dxa"/>
              <w:left w:w="65" w:type="dxa"/>
              <w:bottom w:w="65" w:type="dxa"/>
              <w:right w:w="65" w:type="dxa"/>
            </w:tcMar>
            <w:shd w:fill="FFFFFF"/>
            <w:tcBorders>
              <w:top w:val="single" w:sz="4" w:color="D9D9D9"/>
              <w:left w:val="single" w:sz="4" w:color="D9D9D9"/>
              <w:bottom w:val="single" w:sz="4" w:color="D9D9D9"/>
              <w:right w:val="single" w:sz="4" w:color="D9D9D9"/>
            </w:tcBorders>
          </w:tcPr>
          <w:p>
            <w:pPr>
              <w:spacing w:after="0" w:line="264" w:lineRule="auto"/>
              <w:jc w:val="left"/>
            </w:pPr>
            <w:r>
              <w:rPr>
                <w:rFonts w:ascii="Arial" w:hAnsi="Arial" w:eastAsia="Microsoft YaHei"/>
                <w:b w:val="0"/>
                <w:color w:val="000000"/>
                <w:sz w:val="19"/>
              </w:rPr>
              <w:t>home_avg_sot_10</w:t>
            </w:r>
          </w:p>
        </w:tc>
        <w:tc>
          <w:tcPr>
            <w:tcW w:type="dxa" w:w="5832"/>
            <w:vAlign w:val="center"/>
            <w:tcMar>
              <w:top w:w="65" w:type="dxa"/>
              <w:left w:w="65" w:type="dxa"/>
              <w:bottom w:w="65" w:type="dxa"/>
              <w:right w:w="65" w:type="dxa"/>
            </w:tcMar>
            <w:shd w:fill="FFFFFF"/>
            <w:tcBorders>
              <w:top w:val="single" w:sz="4" w:color="D9D9D9"/>
              <w:left w:val="single" w:sz="4" w:color="D9D9D9"/>
              <w:bottom w:val="single" w:sz="4" w:color="D9D9D9"/>
              <w:right w:val="single" w:sz="4" w:color="D9D9D9"/>
            </w:tcBorders>
          </w:tcPr>
          <w:p>
            <w:pPr>
              <w:spacing w:after="0" w:line="264" w:lineRule="auto"/>
              <w:jc w:val="left"/>
            </w:pPr>
            <w:r>
              <w:rPr>
                <w:rFonts w:ascii="Arial" w:hAnsi="Arial" w:eastAsia="Microsoft YaHei"/>
                <w:b w:val="0"/>
                <w:color w:val="000000"/>
                <w:sz w:val="19"/>
              </w:rPr>
              <w:t>0.020728</w:t>
            </w:r>
          </w:p>
        </w:tc>
      </w:tr>
      <w:tr>
        <w:trPr>
          <w:cantSplit/>
        </w:trPr>
        <w:tc>
          <w:tcPr>
            <w:tcW w:type="dxa" w:w="3960"/>
            <w:vAlign w:val="center"/>
            <w:tcMar>
              <w:top w:w="65" w:type="dxa"/>
              <w:left w:w="65" w:type="dxa"/>
              <w:bottom w:w="65" w:type="dxa"/>
              <w:right w:w="65" w:type="dxa"/>
            </w:tcMar>
            <w:shd w:fill="F4F6F8"/>
            <w:tcBorders>
              <w:top w:val="single" w:sz="4" w:color="D9D9D9"/>
              <w:left w:val="single" w:sz="4" w:color="D9D9D9"/>
              <w:bottom w:val="single" w:sz="4" w:color="D9D9D9"/>
              <w:right w:val="single" w:sz="4" w:color="D9D9D9"/>
            </w:tcBorders>
          </w:tcPr>
          <w:p>
            <w:pPr>
              <w:spacing w:after="0" w:line="264" w:lineRule="auto"/>
              <w:jc w:val="left"/>
            </w:pPr>
            <w:r>
              <w:rPr>
                <w:rFonts w:ascii="Arial" w:hAnsi="Arial" w:eastAsia="Microsoft YaHei"/>
                <w:b w:val="0"/>
                <w:color w:val="000000"/>
                <w:sz w:val="19"/>
              </w:rPr>
              <w:t>away_avg_sot_10</w:t>
            </w:r>
          </w:p>
        </w:tc>
        <w:tc>
          <w:tcPr>
            <w:tcW w:type="dxa" w:w="5832"/>
            <w:vAlign w:val="center"/>
            <w:tcMar>
              <w:top w:w="65" w:type="dxa"/>
              <w:left w:w="65" w:type="dxa"/>
              <w:bottom w:w="65" w:type="dxa"/>
              <w:right w:w="65" w:type="dxa"/>
            </w:tcMar>
            <w:shd w:fill="F4F6F8"/>
            <w:tcBorders>
              <w:top w:val="single" w:sz="4" w:color="D9D9D9"/>
              <w:left w:val="single" w:sz="4" w:color="D9D9D9"/>
              <w:bottom w:val="single" w:sz="4" w:color="D9D9D9"/>
              <w:right w:val="single" w:sz="4" w:color="D9D9D9"/>
            </w:tcBorders>
          </w:tcPr>
          <w:p>
            <w:pPr>
              <w:spacing w:after="0" w:line="264" w:lineRule="auto"/>
              <w:jc w:val="left"/>
            </w:pPr>
            <w:r>
              <w:rPr>
                <w:rFonts w:ascii="Arial" w:hAnsi="Arial" w:eastAsia="Microsoft YaHei"/>
                <w:b w:val="0"/>
                <w:color w:val="000000"/>
                <w:sz w:val="19"/>
              </w:rPr>
              <w:t>0.015984</w:t>
            </w:r>
          </w:p>
        </w:tc>
      </w:tr>
      <w:tr>
        <w:trPr>
          <w:cantSplit/>
        </w:trPr>
        <w:tc>
          <w:tcPr>
            <w:tcW w:type="dxa" w:w="3960"/>
            <w:vAlign w:val="center"/>
            <w:tcMar>
              <w:top w:w="65" w:type="dxa"/>
              <w:left w:w="65" w:type="dxa"/>
              <w:bottom w:w="65" w:type="dxa"/>
              <w:right w:w="65" w:type="dxa"/>
            </w:tcMar>
            <w:shd w:fill="FFFFFF"/>
            <w:tcBorders>
              <w:top w:val="single" w:sz="4" w:color="D9D9D9"/>
              <w:left w:val="single" w:sz="4" w:color="D9D9D9"/>
              <w:bottom w:val="single" w:sz="4" w:color="D9D9D9"/>
              <w:right w:val="single" w:sz="4" w:color="D9D9D9"/>
            </w:tcBorders>
          </w:tcPr>
          <w:p>
            <w:pPr>
              <w:spacing w:after="0" w:line="264" w:lineRule="auto"/>
              <w:jc w:val="left"/>
            </w:pPr>
            <w:r>
              <w:rPr>
                <w:rFonts w:ascii="Arial" w:hAnsi="Arial" w:eastAsia="Microsoft YaHei"/>
                <w:b w:val="0"/>
                <w:color w:val="000000"/>
                <w:sz w:val="19"/>
              </w:rPr>
              <w:t>away_avg_shots_5</w:t>
            </w:r>
          </w:p>
        </w:tc>
        <w:tc>
          <w:tcPr>
            <w:tcW w:type="dxa" w:w="5832"/>
            <w:vAlign w:val="center"/>
            <w:tcMar>
              <w:top w:w="65" w:type="dxa"/>
              <w:left w:w="65" w:type="dxa"/>
              <w:bottom w:w="65" w:type="dxa"/>
              <w:right w:w="65" w:type="dxa"/>
            </w:tcMar>
            <w:shd w:fill="FFFFFF"/>
            <w:tcBorders>
              <w:top w:val="single" w:sz="4" w:color="D9D9D9"/>
              <w:left w:val="single" w:sz="4" w:color="D9D9D9"/>
              <w:bottom w:val="single" w:sz="4" w:color="D9D9D9"/>
              <w:right w:val="single" w:sz="4" w:color="D9D9D9"/>
            </w:tcBorders>
          </w:tcPr>
          <w:p>
            <w:pPr>
              <w:spacing w:after="0" w:line="264" w:lineRule="auto"/>
              <w:jc w:val="left"/>
            </w:pPr>
            <w:r>
              <w:rPr>
                <w:rFonts w:ascii="Arial" w:hAnsi="Arial" w:eastAsia="Microsoft YaHei"/>
                <w:b w:val="0"/>
                <w:color w:val="000000"/>
                <w:sz w:val="19"/>
              </w:rPr>
              <w:t>0.014878</w:t>
            </w:r>
          </w:p>
        </w:tc>
      </w:tr>
      <w:tr>
        <w:trPr>
          <w:cantSplit/>
        </w:trPr>
        <w:tc>
          <w:tcPr>
            <w:tcW w:type="dxa" w:w="3960"/>
            <w:vAlign w:val="center"/>
            <w:tcMar>
              <w:top w:w="65" w:type="dxa"/>
              <w:left w:w="65" w:type="dxa"/>
              <w:bottom w:w="65" w:type="dxa"/>
              <w:right w:w="65" w:type="dxa"/>
            </w:tcMar>
            <w:shd w:fill="F4F6F8"/>
            <w:tcBorders>
              <w:top w:val="single" w:sz="4" w:color="D9D9D9"/>
              <w:left w:val="single" w:sz="4" w:color="D9D9D9"/>
              <w:bottom w:val="single" w:sz="4" w:color="D9D9D9"/>
              <w:right w:val="single" w:sz="4" w:color="D9D9D9"/>
            </w:tcBorders>
          </w:tcPr>
          <w:p>
            <w:pPr>
              <w:spacing w:after="0" w:line="264" w:lineRule="auto"/>
              <w:jc w:val="left"/>
            </w:pPr>
            <w:r>
              <w:rPr>
                <w:rFonts w:ascii="Arial" w:hAnsi="Arial" w:eastAsia="Microsoft YaHei"/>
                <w:b w:val="0"/>
                <w:color w:val="000000"/>
                <w:sz w:val="19"/>
              </w:rPr>
              <w:t>away_attack_strength_5</w:t>
            </w:r>
          </w:p>
        </w:tc>
        <w:tc>
          <w:tcPr>
            <w:tcW w:type="dxa" w:w="5832"/>
            <w:vAlign w:val="center"/>
            <w:tcMar>
              <w:top w:w="65" w:type="dxa"/>
              <w:left w:w="65" w:type="dxa"/>
              <w:bottom w:w="65" w:type="dxa"/>
              <w:right w:w="65" w:type="dxa"/>
            </w:tcMar>
            <w:shd w:fill="F4F6F8"/>
            <w:tcBorders>
              <w:top w:val="single" w:sz="4" w:color="D9D9D9"/>
              <w:left w:val="single" w:sz="4" w:color="D9D9D9"/>
              <w:bottom w:val="single" w:sz="4" w:color="D9D9D9"/>
              <w:right w:val="single" w:sz="4" w:color="D9D9D9"/>
            </w:tcBorders>
          </w:tcPr>
          <w:p>
            <w:pPr>
              <w:spacing w:after="0" w:line="264" w:lineRule="auto"/>
              <w:jc w:val="left"/>
            </w:pPr>
            <w:r>
              <w:rPr>
                <w:rFonts w:ascii="Arial" w:hAnsi="Arial" w:eastAsia="Microsoft YaHei"/>
                <w:b w:val="0"/>
                <w:color w:val="000000"/>
                <w:sz w:val="19"/>
              </w:rPr>
              <w:t>0.013947</w:t>
            </w:r>
          </w:p>
        </w:tc>
      </w:tr>
      <w:tr>
        <w:trPr>
          <w:cantSplit/>
        </w:trPr>
        <w:tc>
          <w:tcPr>
            <w:tcW w:type="dxa" w:w="3960"/>
            <w:vAlign w:val="center"/>
            <w:tcMar>
              <w:top w:w="65" w:type="dxa"/>
              <w:left w:w="65" w:type="dxa"/>
              <w:bottom w:w="65" w:type="dxa"/>
              <w:right w:w="65" w:type="dxa"/>
            </w:tcMar>
            <w:shd w:fill="FFFFFF"/>
            <w:tcBorders>
              <w:top w:val="single" w:sz="4" w:color="D9D9D9"/>
              <w:left w:val="single" w:sz="4" w:color="D9D9D9"/>
              <w:bottom w:val="single" w:sz="4" w:color="D9D9D9"/>
              <w:right w:val="single" w:sz="4" w:color="D9D9D9"/>
            </w:tcBorders>
          </w:tcPr>
          <w:p>
            <w:pPr>
              <w:spacing w:after="0" w:line="264" w:lineRule="auto"/>
              <w:jc w:val="left"/>
            </w:pPr>
            <w:r>
              <w:rPr>
                <w:rFonts w:ascii="Arial" w:hAnsi="Arial" w:eastAsia="Microsoft YaHei"/>
                <w:b w:val="0"/>
                <w:color w:val="000000"/>
                <w:sz w:val="19"/>
              </w:rPr>
              <w:t>away_goal_differential_5</w:t>
            </w:r>
          </w:p>
        </w:tc>
        <w:tc>
          <w:tcPr>
            <w:tcW w:type="dxa" w:w="5832"/>
            <w:vAlign w:val="center"/>
            <w:tcMar>
              <w:top w:w="65" w:type="dxa"/>
              <w:left w:w="65" w:type="dxa"/>
              <w:bottom w:w="65" w:type="dxa"/>
              <w:right w:w="65" w:type="dxa"/>
            </w:tcMar>
            <w:shd w:fill="FFFFFF"/>
            <w:tcBorders>
              <w:top w:val="single" w:sz="4" w:color="D9D9D9"/>
              <w:left w:val="single" w:sz="4" w:color="D9D9D9"/>
              <w:bottom w:val="single" w:sz="4" w:color="D9D9D9"/>
              <w:right w:val="single" w:sz="4" w:color="D9D9D9"/>
            </w:tcBorders>
          </w:tcPr>
          <w:p>
            <w:pPr>
              <w:spacing w:after="0" w:line="264" w:lineRule="auto"/>
              <w:jc w:val="left"/>
            </w:pPr>
            <w:r>
              <w:rPr>
                <w:rFonts w:ascii="Arial" w:hAnsi="Arial" w:eastAsia="Microsoft YaHei"/>
                <w:b w:val="0"/>
                <w:color w:val="000000"/>
                <w:sz w:val="19"/>
              </w:rPr>
              <w:t>0.011707</w:t>
            </w:r>
          </w:p>
        </w:tc>
      </w:tr>
    </w:tbl>
    <w:p>
      <w:pPr>
        <w:spacing w:after="20" w:line="96" w:lineRule="auto"/>
      </w:pPr>
    </w:p>
    <w:p>
      <w:pPr>
        <w:widowControl/>
      </w:pPr>
      <w:r>
        <w:rPr>
          <w:rFonts w:ascii="Arial" w:hAnsi="Arial" w:eastAsia="Microsoft YaHei"/>
          <w:b w:val="0"/>
          <w:color w:val="000000"/>
          <w:sz w:val="22"/>
        </w:rPr>
        <w:t>The 76 deduplicated candidates include feature-family combinations, ranked prefixes, removal of low-ranked inputs, positive-importance inputs, individual windows and correlation pruning. Leading validation candidates are shown below.</w:t>
      </w:r>
    </w:p>
    <w:tbl>
      <w:tblPr>
        <w:tblW w:type="auto" w:w="0"/>
        <w:jc w:val="center"/>
        <w:tblLayout w:type="fixed"/>
        <w:tblLook w:firstColumn="1" w:firstRow="1" w:lastColumn="0" w:lastRow="0" w:noHBand="0" w:noVBand="1" w:val="04A0"/>
      </w:tblPr>
      <w:tblGrid>
        <w:gridCol w:w="4392"/>
        <w:gridCol w:w="1512"/>
        <w:gridCol w:w="3888"/>
      </w:tblGrid>
      <w:tr>
        <w:trPr>
          <w:cantSplit/>
          <w:tblHeader/>
        </w:trPr>
        <w:tc>
          <w:tcPr>
            <w:tcW w:type="dxa" w:w="4392"/>
            <w:vAlign w:val="center"/>
            <w:tcMar>
              <w:top w:w="65" w:type="dxa"/>
              <w:left w:w="65" w:type="dxa"/>
              <w:bottom w:w="65" w:type="dxa"/>
              <w:right w:w="65" w:type="dxa"/>
            </w:tcMar>
            <w:shd w:fill="DCE6EF"/>
            <w:tcBorders>
              <w:top w:val="single" w:sz="4" w:color="D9D9D9"/>
              <w:left w:val="single" w:sz="4" w:color="D9D9D9"/>
              <w:bottom w:val="single" w:sz="4" w:color="D9D9D9"/>
              <w:right w:val="single" w:sz="4" w:color="D9D9D9"/>
            </w:tcBorders>
          </w:tcPr>
          <w:p>
            <w:pPr>
              <w:spacing w:after="0" w:line="264" w:lineRule="auto"/>
              <w:jc w:val="left"/>
            </w:pPr>
            <w:r>
              <w:rPr>
                <w:rFonts w:ascii="Arial" w:hAnsi="Arial" w:eastAsia="Microsoft YaHei"/>
                <w:b/>
                <w:color w:val="000000"/>
                <w:sz w:val="19"/>
              </w:rPr>
              <w:t>Validation candidate</w:t>
            </w:r>
          </w:p>
        </w:tc>
        <w:tc>
          <w:tcPr>
            <w:tcW w:type="dxa" w:w="1512"/>
            <w:vAlign w:val="center"/>
            <w:tcMar>
              <w:top w:w="65" w:type="dxa"/>
              <w:left w:w="65" w:type="dxa"/>
              <w:bottom w:w="65" w:type="dxa"/>
              <w:right w:w="65" w:type="dxa"/>
            </w:tcMar>
            <w:shd w:fill="DCE6EF"/>
            <w:tcBorders>
              <w:top w:val="single" w:sz="4" w:color="D9D9D9"/>
              <w:left w:val="single" w:sz="4" w:color="D9D9D9"/>
              <w:bottom w:val="single" w:sz="4" w:color="D9D9D9"/>
              <w:right w:val="single" w:sz="4" w:color="D9D9D9"/>
            </w:tcBorders>
          </w:tcPr>
          <w:p>
            <w:pPr>
              <w:spacing w:after="0" w:line="264" w:lineRule="auto"/>
              <w:jc w:val="center"/>
            </w:pPr>
            <w:r>
              <w:rPr>
                <w:rFonts w:ascii="Arial" w:hAnsi="Arial" w:eastAsia="Microsoft YaHei"/>
                <w:b/>
                <w:color w:val="000000"/>
                <w:sz w:val="19"/>
              </w:rPr>
              <w:t>Inputs</w:t>
            </w:r>
          </w:p>
        </w:tc>
        <w:tc>
          <w:tcPr>
            <w:tcW w:type="dxa" w:w="3888"/>
            <w:vAlign w:val="center"/>
            <w:tcMar>
              <w:top w:w="65" w:type="dxa"/>
              <w:left w:w="65" w:type="dxa"/>
              <w:bottom w:w="65" w:type="dxa"/>
              <w:right w:w="65" w:type="dxa"/>
            </w:tcMar>
            <w:shd w:fill="DCE6EF"/>
            <w:tcBorders>
              <w:top w:val="single" w:sz="4" w:color="D9D9D9"/>
              <w:left w:val="single" w:sz="4" w:color="D9D9D9"/>
              <w:bottom w:val="single" w:sz="4" w:color="D9D9D9"/>
              <w:right w:val="single" w:sz="4" w:color="D9D9D9"/>
            </w:tcBorders>
          </w:tcPr>
          <w:p>
            <w:pPr>
              <w:spacing w:after="0" w:line="264" w:lineRule="auto"/>
              <w:jc w:val="center"/>
            </w:pPr>
            <w:r>
              <w:rPr>
                <w:rFonts w:ascii="Arial" w:hAnsi="Arial" w:eastAsia="Microsoft YaHei"/>
                <w:b/>
                <w:color w:val="000000"/>
                <w:sz w:val="19"/>
              </w:rPr>
              <w:t>Validation LL</w:t>
            </w:r>
          </w:p>
        </w:tc>
      </w:tr>
      <w:tr>
        <w:trPr>
          <w:cantSplit/>
        </w:trPr>
        <w:tc>
          <w:tcPr>
            <w:tcW w:type="dxa" w:w="4392"/>
            <w:vAlign w:val="center"/>
            <w:tcMar>
              <w:top w:w="65" w:type="dxa"/>
              <w:left w:w="65" w:type="dxa"/>
              <w:bottom w:w="65" w:type="dxa"/>
              <w:right w:w="65" w:type="dxa"/>
            </w:tcMar>
            <w:shd w:fill="FFFFFF"/>
            <w:tcBorders>
              <w:top w:val="single" w:sz="4" w:color="D9D9D9"/>
              <w:left w:val="single" w:sz="4" w:color="D9D9D9"/>
              <w:bottom w:val="single" w:sz="4" w:color="D9D9D9"/>
              <w:right w:val="single" w:sz="4" w:color="D9D9D9"/>
            </w:tcBorders>
          </w:tcPr>
          <w:p>
            <w:pPr>
              <w:spacing w:after="0" w:line="264" w:lineRule="auto"/>
              <w:jc w:val="left"/>
            </w:pPr>
            <w:r>
              <w:rPr>
                <w:rFonts w:ascii="Arial" w:hAnsi="Arial" w:eastAsia="Microsoft YaHei"/>
                <w:b w:val="0"/>
                <w:color w:val="000000"/>
                <w:sz w:val="19"/>
              </w:rPr>
              <w:t>window_10_only</w:t>
            </w:r>
          </w:p>
        </w:tc>
        <w:tc>
          <w:tcPr>
            <w:tcW w:type="dxa" w:w="1512"/>
            <w:vAlign w:val="center"/>
            <w:tcMar>
              <w:top w:w="65" w:type="dxa"/>
              <w:left w:w="65" w:type="dxa"/>
              <w:bottom w:w="65" w:type="dxa"/>
              <w:right w:w="65" w:type="dxa"/>
            </w:tcMar>
            <w:shd w:fill="FFFFFF"/>
            <w:tcBorders>
              <w:top w:val="single" w:sz="4" w:color="D9D9D9"/>
              <w:left w:val="single" w:sz="4" w:color="D9D9D9"/>
              <w:bottom w:val="single" w:sz="4" w:color="D9D9D9"/>
              <w:right w:val="single" w:sz="4" w:color="D9D9D9"/>
            </w:tcBorders>
          </w:tcPr>
          <w:p>
            <w:pPr>
              <w:spacing w:after="0" w:line="264" w:lineRule="auto"/>
              <w:jc w:val="center"/>
            </w:pPr>
            <w:r>
              <w:rPr>
                <w:rFonts w:ascii="Arial" w:hAnsi="Arial" w:eastAsia="Microsoft YaHei"/>
                <w:b w:val="0"/>
                <w:color w:val="000000"/>
                <w:sz w:val="19"/>
              </w:rPr>
              <w:t>36</w:t>
            </w:r>
          </w:p>
        </w:tc>
        <w:tc>
          <w:tcPr>
            <w:tcW w:type="dxa" w:w="3888"/>
            <w:vAlign w:val="center"/>
            <w:tcMar>
              <w:top w:w="65" w:type="dxa"/>
              <w:left w:w="65" w:type="dxa"/>
              <w:bottom w:w="65" w:type="dxa"/>
              <w:right w:w="65" w:type="dxa"/>
            </w:tcMar>
            <w:shd w:fill="FFFFFF"/>
            <w:tcBorders>
              <w:top w:val="single" w:sz="4" w:color="D9D9D9"/>
              <w:left w:val="single" w:sz="4" w:color="D9D9D9"/>
              <w:bottom w:val="single" w:sz="4" w:color="D9D9D9"/>
              <w:right w:val="single" w:sz="4" w:color="D9D9D9"/>
            </w:tcBorders>
          </w:tcPr>
          <w:p>
            <w:pPr>
              <w:spacing w:after="0" w:line="264" w:lineRule="auto"/>
              <w:jc w:val="center"/>
            </w:pPr>
            <w:r>
              <w:rPr>
                <w:rFonts w:ascii="Arial" w:hAnsi="Arial" w:eastAsia="Microsoft YaHei"/>
                <w:b w:val="0"/>
                <w:color w:val="000000"/>
                <w:sz w:val="19"/>
              </w:rPr>
              <w:t>1.038277</w:t>
            </w:r>
          </w:p>
        </w:tc>
      </w:tr>
      <w:tr>
        <w:trPr>
          <w:cantSplit/>
        </w:trPr>
        <w:tc>
          <w:tcPr>
            <w:tcW w:type="dxa" w:w="4392"/>
            <w:vAlign w:val="center"/>
            <w:tcMar>
              <w:top w:w="65" w:type="dxa"/>
              <w:left w:w="65" w:type="dxa"/>
              <w:bottom w:w="65" w:type="dxa"/>
              <w:right w:w="65" w:type="dxa"/>
            </w:tcMar>
            <w:shd w:fill="F4F6F8"/>
            <w:tcBorders>
              <w:top w:val="single" w:sz="4" w:color="D9D9D9"/>
              <w:left w:val="single" w:sz="4" w:color="D9D9D9"/>
              <w:bottom w:val="single" w:sz="4" w:color="D9D9D9"/>
              <w:right w:val="single" w:sz="4" w:color="D9D9D9"/>
            </w:tcBorders>
          </w:tcPr>
          <w:p>
            <w:pPr>
              <w:spacing w:after="0" w:line="264" w:lineRule="auto"/>
              <w:jc w:val="left"/>
            </w:pPr>
            <w:r>
              <w:rPr>
                <w:rFonts w:ascii="Arial" w:hAnsi="Arial" w:eastAsia="Microsoft YaHei"/>
                <w:b w:val="0"/>
                <w:color w:val="000000"/>
                <w:sz w:val="19"/>
              </w:rPr>
              <w:t>form + h2h + shooting</w:t>
            </w:r>
          </w:p>
        </w:tc>
        <w:tc>
          <w:tcPr>
            <w:tcW w:type="dxa" w:w="1512"/>
            <w:vAlign w:val="center"/>
            <w:tcMar>
              <w:top w:w="65" w:type="dxa"/>
              <w:left w:w="65" w:type="dxa"/>
              <w:bottom w:w="65" w:type="dxa"/>
              <w:right w:w="65" w:type="dxa"/>
            </w:tcMar>
            <w:shd w:fill="F4F6F8"/>
            <w:tcBorders>
              <w:top w:val="single" w:sz="4" w:color="D9D9D9"/>
              <w:left w:val="single" w:sz="4" w:color="D9D9D9"/>
              <w:bottom w:val="single" w:sz="4" w:color="D9D9D9"/>
              <w:right w:val="single" w:sz="4" w:color="D9D9D9"/>
            </w:tcBorders>
          </w:tcPr>
          <w:p>
            <w:pPr>
              <w:spacing w:after="0" w:line="264" w:lineRule="auto"/>
              <w:jc w:val="center"/>
            </w:pPr>
            <w:r>
              <w:rPr>
                <w:rFonts w:ascii="Arial" w:hAnsi="Arial" w:eastAsia="Microsoft YaHei"/>
                <w:b w:val="0"/>
                <w:color w:val="000000"/>
                <w:sz w:val="19"/>
              </w:rPr>
              <w:t>37</w:t>
            </w:r>
          </w:p>
        </w:tc>
        <w:tc>
          <w:tcPr>
            <w:tcW w:type="dxa" w:w="3888"/>
            <w:vAlign w:val="center"/>
            <w:tcMar>
              <w:top w:w="65" w:type="dxa"/>
              <w:left w:w="65" w:type="dxa"/>
              <w:bottom w:w="65" w:type="dxa"/>
              <w:right w:w="65" w:type="dxa"/>
            </w:tcMar>
            <w:shd w:fill="F4F6F8"/>
            <w:tcBorders>
              <w:top w:val="single" w:sz="4" w:color="D9D9D9"/>
              <w:left w:val="single" w:sz="4" w:color="D9D9D9"/>
              <w:bottom w:val="single" w:sz="4" w:color="D9D9D9"/>
              <w:right w:val="single" w:sz="4" w:color="D9D9D9"/>
            </w:tcBorders>
          </w:tcPr>
          <w:p>
            <w:pPr>
              <w:spacing w:after="0" w:line="264" w:lineRule="auto"/>
              <w:jc w:val="center"/>
            </w:pPr>
            <w:r>
              <w:rPr>
                <w:rFonts w:ascii="Arial" w:hAnsi="Arial" w:eastAsia="Microsoft YaHei"/>
                <w:b w:val="0"/>
                <w:color w:val="000000"/>
                <w:sz w:val="19"/>
              </w:rPr>
              <w:t>1.039272</w:t>
            </w:r>
          </w:p>
        </w:tc>
      </w:tr>
      <w:tr>
        <w:trPr>
          <w:cantSplit/>
        </w:trPr>
        <w:tc>
          <w:tcPr>
            <w:tcW w:type="dxa" w:w="4392"/>
            <w:vAlign w:val="center"/>
            <w:tcMar>
              <w:top w:w="65" w:type="dxa"/>
              <w:left w:w="65" w:type="dxa"/>
              <w:bottom w:w="65" w:type="dxa"/>
              <w:right w:w="65" w:type="dxa"/>
            </w:tcMar>
            <w:shd w:fill="FFFFFF"/>
            <w:tcBorders>
              <w:top w:val="single" w:sz="4" w:color="D9D9D9"/>
              <w:left w:val="single" w:sz="4" w:color="D9D9D9"/>
              <w:bottom w:val="single" w:sz="4" w:color="D9D9D9"/>
              <w:right w:val="single" w:sz="4" w:color="D9D9D9"/>
            </w:tcBorders>
          </w:tcPr>
          <w:p>
            <w:pPr>
              <w:spacing w:after="0" w:line="264" w:lineRule="auto"/>
              <w:jc w:val="left"/>
            </w:pPr>
            <w:r>
              <w:rPr>
                <w:rFonts w:ascii="Arial" w:hAnsi="Arial" w:eastAsia="Microsoft YaHei"/>
                <w:b w:val="0"/>
                <w:color w:val="000000"/>
                <w:sz w:val="19"/>
              </w:rPr>
              <w:t>form + h2h + league + shooting</w:t>
            </w:r>
          </w:p>
        </w:tc>
        <w:tc>
          <w:tcPr>
            <w:tcW w:type="dxa" w:w="1512"/>
            <w:vAlign w:val="center"/>
            <w:tcMar>
              <w:top w:w="65" w:type="dxa"/>
              <w:left w:w="65" w:type="dxa"/>
              <w:bottom w:w="65" w:type="dxa"/>
              <w:right w:w="65" w:type="dxa"/>
            </w:tcMar>
            <w:shd w:fill="FFFFFF"/>
            <w:tcBorders>
              <w:top w:val="single" w:sz="4" w:color="D9D9D9"/>
              <w:left w:val="single" w:sz="4" w:color="D9D9D9"/>
              <w:bottom w:val="single" w:sz="4" w:color="D9D9D9"/>
              <w:right w:val="single" w:sz="4" w:color="D9D9D9"/>
            </w:tcBorders>
          </w:tcPr>
          <w:p>
            <w:pPr>
              <w:spacing w:after="0" w:line="264" w:lineRule="auto"/>
              <w:jc w:val="center"/>
            </w:pPr>
            <w:r>
              <w:rPr>
                <w:rFonts w:ascii="Arial" w:hAnsi="Arial" w:eastAsia="Microsoft YaHei"/>
                <w:b w:val="0"/>
                <w:color w:val="000000"/>
                <w:sz w:val="19"/>
              </w:rPr>
              <w:t>38</w:t>
            </w:r>
          </w:p>
        </w:tc>
        <w:tc>
          <w:tcPr>
            <w:tcW w:type="dxa" w:w="3888"/>
            <w:vAlign w:val="center"/>
            <w:tcMar>
              <w:top w:w="65" w:type="dxa"/>
              <w:left w:w="65" w:type="dxa"/>
              <w:bottom w:w="65" w:type="dxa"/>
              <w:right w:w="65" w:type="dxa"/>
            </w:tcMar>
            <w:shd w:fill="FFFFFF"/>
            <w:tcBorders>
              <w:top w:val="single" w:sz="4" w:color="D9D9D9"/>
              <w:left w:val="single" w:sz="4" w:color="D9D9D9"/>
              <w:bottom w:val="single" w:sz="4" w:color="D9D9D9"/>
              <w:right w:val="single" w:sz="4" w:color="D9D9D9"/>
            </w:tcBorders>
          </w:tcPr>
          <w:p>
            <w:pPr>
              <w:spacing w:after="0" w:line="264" w:lineRule="auto"/>
              <w:jc w:val="center"/>
            </w:pPr>
            <w:r>
              <w:rPr>
                <w:rFonts w:ascii="Arial" w:hAnsi="Arial" w:eastAsia="Microsoft YaHei"/>
                <w:b w:val="0"/>
                <w:color w:val="000000"/>
                <w:sz w:val="19"/>
              </w:rPr>
              <w:t>1.039561</w:t>
            </w:r>
          </w:p>
        </w:tc>
      </w:tr>
      <w:tr>
        <w:trPr>
          <w:cantSplit/>
        </w:trPr>
        <w:tc>
          <w:tcPr>
            <w:tcW w:type="dxa" w:w="4392"/>
            <w:vAlign w:val="center"/>
            <w:tcMar>
              <w:top w:w="65" w:type="dxa"/>
              <w:left w:w="65" w:type="dxa"/>
              <w:bottom w:w="65" w:type="dxa"/>
              <w:right w:w="65" w:type="dxa"/>
            </w:tcMar>
            <w:shd w:fill="F4F6F8"/>
            <w:tcBorders>
              <w:top w:val="single" w:sz="4" w:color="D9D9D9"/>
              <w:left w:val="single" w:sz="4" w:color="D9D9D9"/>
              <w:bottom w:val="single" w:sz="4" w:color="D9D9D9"/>
              <w:right w:val="single" w:sz="4" w:color="D9D9D9"/>
            </w:tcBorders>
          </w:tcPr>
          <w:p>
            <w:pPr>
              <w:spacing w:after="0" w:line="264" w:lineRule="auto"/>
              <w:jc w:val="left"/>
            </w:pPr>
            <w:r>
              <w:rPr>
                <w:rFonts w:ascii="Arial" w:hAnsi="Arial" w:eastAsia="Microsoft YaHei"/>
                <w:b w:val="0"/>
                <w:color w:val="000000"/>
                <w:sz w:val="19"/>
              </w:rPr>
              <w:t>form + h2h + margins + shooting</w:t>
            </w:r>
          </w:p>
        </w:tc>
        <w:tc>
          <w:tcPr>
            <w:tcW w:type="dxa" w:w="1512"/>
            <w:vAlign w:val="center"/>
            <w:tcMar>
              <w:top w:w="65" w:type="dxa"/>
              <w:left w:w="65" w:type="dxa"/>
              <w:bottom w:w="65" w:type="dxa"/>
              <w:right w:w="65" w:type="dxa"/>
            </w:tcMar>
            <w:shd w:fill="F4F6F8"/>
            <w:tcBorders>
              <w:top w:val="single" w:sz="4" w:color="D9D9D9"/>
              <w:left w:val="single" w:sz="4" w:color="D9D9D9"/>
              <w:bottom w:val="single" w:sz="4" w:color="D9D9D9"/>
              <w:right w:val="single" w:sz="4" w:color="D9D9D9"/>
            </w:tcBorders>
          </w:tcPr>
          <w:p>
            <w:pPr>
              <w:spacing w:after="0" w:line="264" w:lineRule="auto"/>
              <w:jc w:val="center"/>
            </w:pPr>
            <w:r>
              <w:rPr>
                <w:rFonts w:ascii="Arial" w:hAnsi="Arial" w:eastAsia="Microsoft YaHei"/>
                <w:b w:val="0"/>
                <w:color w:val="000000"/>
                <w:sz w:val="19"/>
              </w:rPr>
              <w:t>45</w:t>
            </w:r>
          </w:p>
        </w:tc>
        <w:tc>
          <w:tcPr>
            <w:tcW w:type="dxa" w:w="3888"/>
            <w:vAlign w:val="center"/>
            <w:tcMar>
              <w:top w:w="65" w:type="dxa"/>
              <w:left w:w="65" w:type="dxa"/>
              <w:bottom w:w="65" w:type="dxa"/>
              <w:right w:w="65" w:type="dxa"/>
            </w:tcMar>
            <w:shd w:fill="F4F6F8"/>
            <w:tcBorders>
              <w:top w:val="single" w:sz="4" w:color="D9D9D9"/>
              <w:left w:val="single" w:sz="4" w:color="D9D9D9"/>
              <w:bottom w:val="single" w:sz="4" w:color="D9D9D9"/>
              <w:right w:val="single" w:sz="4" w:color="D9D9D9"/>
            </w:tcBorders>
          </w:tcPr>
          <w:p>
            <w:pPr>
              <w:spacing w:after="0" w:line="264" w:lineRule="auto"/>
              <w:jc w:val="center"/>
            </w:pPr>
            <w:r>
              <w:rPr>
                <w:rFonts w:ascii="Arial" w:hAnsi="Arial" w:eastAsia="Microsoft YaHei"/>
                <w:b w:val="0"/>
                <w:color w:val="000000"/>
                <w:sz w:val="19"/>
              </w:rPr>
              <w:t>1.040333</w:t>
            </w:r>
          </w:p>
        </w:tc>
      </w:tr>
    </w:tbl>
    <w:p>
      <w:pPr>
        <w:spacing w:after="20" w:line="96" w:lineRule="auto"/>
      </w:pPr>
    </w:p>
    <w:p>
      <w:pPr>
        <w:widowControl/>
      </w:pPr>
      <w:r>
        <w:rPr>
          <w:rFonts w:ascii="Arial" w:hAnsi="Arial" w:eastAsia="Microsoft YaHei"/>
          <w:b w:val="0"/>
          <w:color w:val="000000"/>
          <w:sz w:val="22"/>
        </w:rPr>
        <w:t>All66 validation LL was 1.040944; the winning subset achieved 1.038277. It retains 30 home/away ten-match statistics, five head-to-head inputs and league level, removing the 30 five-match inputs. This is the best validation LL among searched candidates, not a global optimum over every possible subset.</w:t>
      </w:r>
    </w:p>
    <w:p>
      <w:pPr>
        <w:widowControl/>
      </w:pPr>
      <w:r>
        <w:rPr>
          <w:rFonts w:ascii="Arial" w:hAnsi="Arial" w:eastAsia="Microsoft YaHei"/>
          <w:b w:val="0"/>
          <w:color w:val="000000"/>
          <w:sz w:val="22"/>
        </w:rPr>
        <w:t>Low importance does not imply no football relevance, and individual rankings cannot replace refitted subset comparisons. Twelve input pairs had absolute correlation at least 0.95 in history before the ranking season. Correlation indicates overlapping information but does not alone identify which input to remove.</w:t>
      </w:r>
    </w:p>
    <w:p>
      <w:r>
        <w:br w:type="page"/>
      </w:r>
    </w:p>
    <w:p>
      <w:pPr>
        <w:pStyle w:val="Heading1"/>
      </w:pPr>
      <w:r>
        <w:rPr>
          <w:rFonts w:ascii="Arial" w:hAnsi="Arial" w:eastAsia="Microsoft YaHei"/>
          <w:b/>
          <w:color w:val="000000"/>
          <w:sz w:val="30"/>
        </w:rPr>
        <w:t>Original and Reduced LR Across Seasons</w:t>
      </w:r>
    </w:p>
    <w:p>
      <w:pPr>
        <w:widowControl/>
      </w:pPr>
      <w:r>
        <w:rPr>
          <w:rFonts w:ascii="Arial" w:hAnsi="Arial" w:eastAsia="Microsoft YaHei"/>
          <w:b w:val="0"/>
          <w:color w:val="000000"/>
          <w:sz w:val="22"/>
        </w:rPr>
        <w:t>Both models use unscaled LR, C=1, lbfgs, max_iter=4000, seed 42 and identical training-only mean imputation. Only the columns change. The new subset remains fixed for all six tests; coefficients are refitted on earlier seasons at every boundary.</w:t>
      </w:r>
    </w:p>
    <w:tbl>
      <w:tblPr>
        <w:tblW w:type="auto" w:w="0"/>
        <w:jc w:val="center"/>
        <w:tblLayout w:type="fixed"/>
        <w:tblLook w:firstColumn="1" w:firstRow="1" w:lastColumn="0" w:lastRow="0" w:noHBand="0" w:noVBand="1" w:val="04A0"/>
      </w:tblPr>
      <w:tblGrid>
        <w:gridCol w:w="2376"/>
        <w:gridCol w:w="1800"/>
        <w:gridCol w:w="1800"/>
        <w:gridCol w:w="1800"/>
        <w:gridCol w:w="2016"/>
      </w:tblGrid>
      <w:tr>
        <w:trPr>
          <w:cantSplit/>
          <w:tblHeader/>
        </w:trPr>
        <w:tc>
          <w:tcPr>
            <w:tcW w:type="dxa" w:w="2376"/>
            <w:vAlign w:val="center"/>
            <w:tcMar>
              <w:top w:w="65" w:type="dxa"/>
              <w:left w:w="65" w:type="dxa"/>
              <w:bottom w:w="65" w:type="dxa"/>
              <w:right w:w="65" w:type="dxa"/>
            </w:tcMar>
            <w:shd w:fill="DCE6EF"/>
            <w:tcBorders>
              <w:top w:val="single" w:sz="4" w:color="D9D9D9"/>
              <w:left w:val="single" w:sz="4" w:color="D9D9D9"/>
              <w:bottom w:val="single" w:sz="4" w:color="D9D9D9"/>
              <w:right w:val="single" w:sz="4" w:color="D9D9D9"/>
            </w:tcBorders>
          </w:tcPr>
          <w:p>
            <w:pPr>
              <w:spacing w:after="0" w:line="264" w:lineRule="auto"/>
              <w:jc w:val="left"/>
            </w:pPr>
            <w:r>
              <w:rPr>
                <w:rFonts w:ascii="Arial" w:hAnsi="Arial" w:eastAsia="Microsoft YaHei"/>
                <w:b/>
                <w:color w:val="000000"/>
                <w:sz w:val="19"/>
              </w:rPr>
              <w:t>Model</w:t>
            </w:r>
          </w:p>
        </w:tc>
        <w:tc>
          <w:tcPr>
            <w:tcW w:type="dxa" w:w="1800"/>
            <w:vAlign w:val="center"/>
            <w:tcMar>
              <w:top w:w="65" w:type="dxa"/>
              <w:left w:w="65" w:type="dxa"/>
              <w:bottom w:w="65" w:type="dxa"/>
              <w:right w:w="65" w:type="dxa"/>
            </w:tcMar>
            <w:shd w:fill="DCE6EF"/>
            <w:tcBorders>
              <w:top w:val="single" w:sz="4" w:color="D9D9D9"/>
              <w:left w:val="single" w:sz="4" w:color="D9D9D9"/>
              <w:bottom w:val="single" w:sz="4" w:color="D9D9D9"/>
              <w:right w:val="single" w:sz="4" w:color="D9D9D9"/>
            </w:tcBorders>
          </w:tcPr>
          <w:p>
            <w:pPr>
              <w:spacing w:after="0" w:line="264" w:lineRule="auto"/>
              <w:jc w:val="center"/>
            </w:pPr>
            <w:r>
              <w:rPr>
                <w:rFonts w:ascii="Arial" w:hAnsi="Arial" w:eastAsia="Microsoft YaHei"/>
                <w:b/>
                <w:color w:val="000000"/>
                <w:sz w:val="19"/>
              </w:rPr>
              <w:t>Accuracy</w:t>
            </w:r>
          </w:p>
        </w:tc>
        <w:tc>
          <w:tcPr>
            <w:tcW w:type="dxa" w:w="1800"/>
            <w:vAlign w:val="center"/>
            <w:tcMar>
              <w:top w:w="65" w:type="dxa"/>
              <w:left w:w="65" w:type="dxa"/>
              <w:bottom w:w="65" w:type="dxa"/>
              <w:right w:w="65" w:type="dxa"/>
            </w:tcMar>
            <w:shd w:fill="DCE6EF"/>
            <w:tcBorders>
              <w:top w:val="single" w:sz="4" w:color="D9D9D9"/>
              <w:left w:val="single" w:sz="4" w:color="D9D9D9"/>
              <w:bottom w:val="single" w:sz="4" w:color="D9D9D9"/>
              <w:right w:val="single" w:sz="4" w:color="D9D9D9"/>
            </w:tcBorders>
          </w:tcPr>
          <w:p>
            <w:pPr>
              <w:spacing w:after="0" w:line="264" w:lineRule="auto"/>
              <w:jc w:val="center"/>
            </w:pPr>
            <w:r>
              <w:rPr>
                <w:rFonts w:ascii="Arial" w:hAnsi="Arial" w:eastAsia="Microsoft YaHei"/>
                <w:b/>
                <w:color w:val="000000"/>
                <w:sz w:val="19"/>
              </w:rPr>
              <w:t>Log Loss</w:t>
            </w:r>
          </w:p>
        </w:tc>
        <w:tc>
          <w:tcPr>
            <w:tcW w:type="dxa" w:w="1800"/>
            <w:vAlign w:val="center"/>
            <w:tcMar>
              <w:top w:w="65" w:type="dxa"/>
              <w:left w:w="65" w:type="dxa"/>
              <w:bottom w:w="65" w:type="dxa"/>
              <w:right w:w="65" w:type="dxa"/>
            </w:tcMar>
            <w:shd w:fill="DCE6EF"/>
            <w:tcBorders>
              <w:top w:val="single" w:sz="4" w:color="D9D9D9"/>
              <w:left w:val="single" w:sz="4" w:color="D9D9D9"/>
              <w:bottom w:val="single" w:sz="4" w:color="D9D9D9"/>
              <w:right w:val="single" w:sz="4" w:color="D9D9D9"/>
            </w:tcBorders>
          </w:tcPr>
          <w:p>
            <w:pPr>
              <w:spacing w:after="0" w:line="264" w:lineRule="auto"/>
              <w:jc w:val="center"/>
            </w:pPr>
            <w:r>
              <w:rPr>
                <w:rFonts w:ascii="Arial" w:hAnsi="Arial" w:eastAsia="Microsoft YaHei"/>
                <w:b/>
                <w:color w:val="000000"/>
                <w:sz w:val="19"/>
              </w:rPr>
              <w:t>Macro F1</w:t>
            </w:r>
          </w:p>
        </w:tc>
        <w:tc>
          <w:tcPr>
            <w:tcW w:type="dxa" w:w="2016"/>
            <w:vAlign w:val="center"/>
            <w:tcMar>
              <w:top w:w="65" w:type="dxa"/>
              <w:left w:w="65" w:type="dxa"/>
              <w:bottom w:w="65" w:type="dxa"/>
              <w:right w:w="65" w:type="dxa"/>
            </w:tcMar>
            <w:shd w:fill="DCE6EF"/>
            <w:tcBorders>
              <w:top w:val="single" w:sz="4" w:color="D9D9D9"/>
              <w:left w:val="single" w:sz="4" w:color="D9D9D9"/>
              <w:bottom w:val="single" w:sz="4" w:color="D9D9D9"/>
              <w:right w:val="single" w:sz="4" w:color="D9D9D9"/>
            </w:tcBorders>
          </w:tcPr>
          <w:p>
            <w:pPr>
              <w:spacing w:after="0" w:line="264" w:lineRule="auto"/>
              <w:jc w:val="center"/>
            </w:pPr>
            <w:r>
              <w:rPr>
                <w:rFonts w:ascii="Arial" w:hAnsi="Arial" w:eastAsia="Microsoft YaHei"/>
                <w:b/>
                <w:color w:val="000000"/>
                <w:sz w:val="19"/>
              </w:rPr>
              <w:t>Draw F1</w:t>
            </w:r>
          </w:p>
        </w:tc>
      </w:tr>
      <w:tr>
        <w:trPr>
          <w:cantSplit/>
        </w:trPr>
        <w:tc>
          <w:tcPr>
            <w:tcW w:type="dxa" w:w="2376"/>
            <w:vAlign w:val="center"/>
            <w:tcMar>
              <w:top w:w="65" w:type="dxa"/>
              <w:left w:w="65" w:type="dxa"/>
              <w:bottom w:w="65" w:type="dxa"/>
              <w:right w:w="65" w:type="dxa"/>
            </w:tcMar>
            <w:shd w:fill="FFFFFF"/>
            <w:tcBorders>
              <w:top w:val="single" w:sz="4" w:color="D9D9D9"/>
              <w:left w:val="single" w:sz="4" w:color="D9D9D9"/>
              <w:bottom w:val="single" w:sz="4" w:color="D9D9D9"/>
              <w:right w:val="single" w:sz="4" w:color="D9D9D9"/>
            </w:tcBorders>
          </w:tcPr>
          <w:p>
            <w:pPr>
              <w:spacing w:after="0" w:line="264" w:lineRule="auto"/>
              <w:jc w:val="left"/>
            </w:pPr>
            <w:r>
              <w:rPr>
                <w:rFonts w:ascii="Arial" w:hAnsi="Arial" w:eastAsia="Microsoft YaHei"/>
                <w:b w:val="0"/>
                <w:color w:val="000000"/>
                <w:sz w:val="19"/>
              </w:rPr>
              <w:t>Original LR 66</w:t>
            </w:r>
          </w:p>
        </w:tc>
        <w:tc>
          <w:tcPr>
            <w:tcW w:type="dxa" w:w="1800"/>
            <w:vAlign w:val="center"/>
            <w:tcMar>
              <w:top w:w="65" w:type="dxa"/>
              <w:left w:w="65" w:type="dxa"/>
              <w:bottom w:w="65" w:type="dxa"/>
              <w:right w:w="65" w:type="dxa"/>
            </w:tcMar>
            <w:shd w:fill="FFFFFF"/>
            <w:tcBorders>
              <w:top w:val="single" w:sz="4" w:color="D9D9D9"/>
              <w:left w:val="single" w:sz="4" w:color="D9D9D9"/>
              <w:bottom w:val="single" w:sz="4" w:color="D9D9D9"/>
              <w:right w:val="single" w:sz="4" w:color="D9D9D9"/>
            </w:tcBorders>
          </w:tcPr>
          <w:p>
            <w:pPr>
              <w:spacing w:after="0" w:line="264" w:lineRule="auto"/>
              <w:jc w:val="center"/>
            </w:pPr>
            <w:r>
              <w:rPr>
                <w:rFonts w:ascii="Arial" w:hAnsi="Arial" w:eastAsia="Microsoft YaHei"/>
                <w:b w:val="0"/>
                <w:color w:val="000000"/>
                <w:sz w:val="19"/>
              </w:rPr>
              <w:t>45.63%</w:t>
            </w:r>
          </w:p>
        </w:tc>
        <w:tc>
          <w:tcPr>
            <w:tcW w:type="dxa" w:w="1800"/>
            <w:vAlign w:val="center"/>
            <w:tcMar>
              <w:top w:w="65" w:type="dxa"/>
              <w:left w:w="65" w:type="dxa"/>
              <w:bottom w:w="65" w:type="dxa"/>
              <w:right w:w="65" w:type="dxa"/>
            </w:tcMar>
            <w:shd w:fill="FFFFFF"/>
            <w:tcBorders>
              <w:top w:val="single" w:sz="4" w:color="D9D9D9"/>
              <w:left w:val="single" w:sz="4" w:color="D9D9D9"/>
              <w:bottom w:val="single" w:sz="4" w:color="D9D9D9"/>
              <w:right w:val="single" w:sz="4" w:color="D9D9D9"/>
            </w:tcBorders>
          </w:tcPr>
          <w:p>
            <w:pPr>
              <w:spacing w:after="0" w:line="264" w:lineRule="auto"/>
              <w:jc w:val="center"/>
            </w:pPr>
            <w:r>
              <w:rPr>
                <w:rFonts w:ascii="Arial" w:hAnsi="Arial" w:eastAsia="Microsoft YaHei"/>
                <w:b w:val="0"/>
                <w:color w:val="000000"/>
                <w:sz w:val="19"/>
              </w:rPr>
              <w:t>1.056095</w:t>
            </w:r>
          </w:p>
        </w:tc>
        <w:tc>
          <w:tcPr>
            <w:tcW w:type="dxa" w:w="1800"/>
            <w:vAlign w:val="center"/>
            <w:tcMar>
              <w:top w:w="65" w:type="dxa"/>
              <w:left w:w="65" w:type="dxa"/>
              <w:bottom w:w="65" w:type="dxa"/>
              <w:right w:w="65" w:type="dxa"/>
            </w:tcMar>
            <w:shd w:fill="FFFFFF"/>
            <w:tcBorders>
              <w:top w:val="single" w:sz="4" w:color="D9D9D9"/>
              <w:left w:val="single" w:sz="4" w:color="D9D9D9"/>
              <w:bottom w:val="single" w:sz="4" w:color="D9D9D9"/>
              <w:right w:val="single" w:sz="4" w:color="D9D9D9"/>
            </w:tcBorders>
          </w:tcPr>
          <w:p>
            <w:pPr>
              <w:spacing w:after="0" w:line="264" w:lineRule="auto"/>
              <w:jc w:val="center"/>
            </w:pPr>
            <w:r>
              <w:rPr>
                <w:rFonts w:ascii="Arial" w:hAnsi="Arial" w:eastAsia="Microsoft YaHei"/>
                <w:b w:val="0"/>
                <w:color w:val="000000"/>
                <w:sz w:val="19"/>
              </w:rPr>
              <w:t>0.3523</w:t>
            </w:r>
          </w:p>
        </w:tc>
        <w:tc>
          <w:tcPr>
            <w:tcW w:type="dxa" w:w="2016"/>
            <w:vAlign w:val="center"/>
            <w:tcMar>
              <w:top w:w="65" w:type="dxa"/>
              <w:left w:w="65" w:type="dxa"/>
              <w:bottom w:w="65" w:type="dxa"/>
              <w:right w:w="65" w:type="dxa"/>
            </w:tcMar>
            <w:shd w:fill="FFFFFF"/>
            <w:tcBorders>
              <w:top w:val="single" w:sz="4" w:color="D9D9D9"/>
              <w:left w:val="single" w:sz="4" w:color="D9D9D9"/>
              <w:bottom w:val="single" w:sz="4" w:color="D9D9D9"/>
              <w:right w:val="single" w:sz="4" w:color="D9D9D9"/>
            </w:tcBorders>
          </w:tcPr>
          <w:p>
            <w:pPr>
              <w:spacing w:after="0" w:line="264" w:lineRule="auto"/>
              <w:jc w:val="center"/>
            </w:pPr>
            <w:r>
              <w:rPr>
                <w:rFonts w:ascii="Arial" w:hAnsi="Arial" w:eastAsia="Microsoft YaHei"/>
                <w:b w:val="0"/>
                <w:color w:val="000000"/>
                <w:sz w:val="19"/>
              </w:rPr>
              <w:t>0.0421</w:t>
            </w:r>
          </w:p>
        </w:tc>
      </w:tr>
      <w:tr>
        <w:trPr>
          <w:cantSplit/>
        </w:trPr>
        <w:tc>
          <w:tcPr>
            <w:tcW w:type="dxa" w:w="2376"/>
            <w:vAlign w:val="center"/>
            <w:tcMar>
              <w:top w:w="65" w:type="dxa"/>
              <w:left w:w="65" w:type="dxa"/>
              <w:bottom w:w="65" w:type="dxa"/>
              <w:right w:w="65" w:type="dxa"/>
            </w:tcMar>
            <w:shd w:fill="F4F6F8"/>
            <w:tcBorders>
              <w:top w:val="single" w:sz="4" w:color="D9D9D9"/>
              <w:left w:val="single" w:sz="4" w:color="D9D9D9"/>
              <w:bottom w:val="single" w:sz="4" w:color="D9D9D9"/>
              <w:right w:val="single" w:sz="4" w:color="D9D9D9"/>
            </w:tcBorders>
          </w:tcPr>
          <w:p>
            <w:pPr>
              <w:spacing w:after="0" w:line="264" w:lineRule="auto"/>
              <w:jc w:val="left"/>
            </w:pPr>
            <w:r>
              <w:rPr>
                <w:rFonts w:ascii="Arial" w:hAnsi="Arial" w:eastAsia="Microsoft YaHei"/>
                <w:b w:val="0"/>
                <w:color w:val="000000"/>
                <w:sz w:val="19"/>
              </w:rPr>
              <w:t>Reduced LR 36</w:t>
            </w:r>
          </w:p>
        </w:tc>
        <w:tc>
          <w:tcPr>
            <w:tcW w:type="dxa" w:w="1800"/>
            <w:vAlign w:val="center"/>
            <w:tcMar>
              <w:top w:w="65" w:type="dxa"/>
              <w:left w:w="65" w:type="dxa"/>
              <w:bottom w:w="65" w:type="dxa"/>
              <w:right w:w="65" w:type="dxa"/>
            </w:tcMar>
            <w:shd w:fill="F4F6F8"/>
            <w:tcBorders>
              <w:top w:val="single" w:sz="4" w:color="D9D9D9"/>
              <w:left w:val="single" w:sz="4" w:color="D9D9D9"/>
              <w:bottom w:val="single" w:sz="4" w:color="D9D9D9"/>
              <w:right w:val="single" w:sz="4" w:color="D9D9D9"/>
            </w:tcBorders>
          </w:tcPr>
          <w:p>
            <w:pPr>
              <w:spacing w:after="0" w:line="264" w:lineRule="auto"/>
              <w:jc w:val="center"/>
            </w:pPr>
            <w:r>
              <w:rPr>
                <w:rFonts w:ascii="Arial" w:hAnsi="Arial" w:eastAsia="Microsoft YaHei"/>
                <w:b w:val="0"/>
                <w:color w:val="000000"/>
                <w:sz w:val="19"/>
              </w:rPr>
              <w:t>46.07%</w:t>
            </w:r>
          </w:p>
        </w:tc>
        <w:tc>
          <w:tcPr>
            <w:tcW w:type="dxa" w:w="1800"/>
            <w:vAlign w:val="center"/>
            <w:tcMar>
              <w:top w:w="65" w:type="dxa"/>
              <w:left w:w="65" w:type="dxa"/>
              <w:bottom w:w="65" w:type="dxa"/>
              <w:right w:w="65" w:type="dxa"/>
            </w:tcMar>
            <w:shd w:fill="F4F6F8"/>
            <w:tcBorders>
              <w:top w:val="single" w:sz="4" w:color="D9D9D9"/>
              <w:left w:val="single" w:sz="4" w:color="D9D9D9"/>
              <w:bottom w:val="single" w:sz="4" w:color="D9D9D9"/>
              <w:right w:val="single" w:sz="4" w:color="D9D9D9"/>
            </w:tcBorders>
          </w:tcPr>
          <w:p>
            <w:pPr>
              <w:spacing w:after="0" w:line="264" w:lineRule="auto"/>
              <w:jc w:val="center"/>
            </w:pPr>
            <w:r>
              <w:rPr>
                <w:rFonts w:ascii="Arial" w:hAnsi="Arial" w:eastAsia="Microsoft YaHei"/>
                <w:b w:val="0"/>
                <w:color w:val="000000"/>
                <w:sz w:val="19"/>
              </w:rPr>
              <w:t>1.053133</w:t>
            </w:r>
          </w:p>
        </w:tc>
        <w:tc>
          <w:tcPr>
            <w:tcW w:type="dxa" w:w="1800"/>
            <w:vAlign w:val="center"/>
            <w:tcMar>
              <w:top w:w="65" w:type="dxa"/>
              <w:left w:w="65" w:type="dxa"/>
              <w:bottom w:w="65" w:type="dxa"/>
              <w:right w:w="65" w:type="dxa"/>
            </w:tcMar>
            <w:shd w:fill="F4F6F8"/>
            <w:tcBorders>
              <w:top w:val="single" w:sz="4" w:color="D9D9D9"/>
              <w:left w:val="single" w:sz="4" w:color="D9D9D9"/>
              <w:bottom w:val="single" w:sz="4" w:color="D9D9D9"/>
              <w:right w:val="single" w:sz="4" w:color="D9D9D9"/>
            </w:tcBorders>
          </w:tcPr>
          <w:p>
            <w:pPr>
              <w:spacing w:after="0" w:line="264" w:lineRule="auto"/>
              <w:jc w:val="center"/>
            </w:pPr>
            <w:r>
              <w:rPr>
                <w:rFonts w:ascii="Arial" w:hAnsi="Arial" w:eastAsia="Microsoft YaHei"/>
                <w:b w:val="0"/>
                <w:color w:val="000000"/>
                <w:sz w:val="19"/>
              </w:rPr>
              <w:t>0.3493</w:t>
            </w:r>
          </w:p>
        </w:tc>
        <w:tc>
          <w:tcPr>
            <w:tcW w:type="dxa" w:w="2016"/>
            <w:vAlign w:val="center"/>
            <w:tcMar>
              <w:top w:w="65" w:type="dxa"/>
              <w:left w:w="65" w:type="dxa"/>
              <w:bottom w:w="65" w:type="dxa"/>
              <w:right w:w="65" w:type="dxa"/>
            </w:tcMar>
            <w:shd w:fill="F4F6F8"/>
            <w:tcBorders>
              <w:top w:val="single" w:sz="4" w:color="D9D9D9"/>
              <w:left w:val="single" w:sz="4" w:color="D9D9D9"/>
              <w:bottom w:val="single" w:sz="4" w:color="D9D9D9"/>
              <w:right w:val="single" w:sz="4" w:color="D9D9D9"/>
            </w:tcBorders>
          </w:tcPr>
          <w:p>
            <w:pPr>
              <w:spacing w:after="0" w:line="264" w:lineRule="auto"/>
              <w:jc w:val="center"/>
            </w:pPr>
            <w:r>
              <w:rPr>
                <w:rFonts w:ascii="Arial" w:hAnsi="Arial" w:eastAsia="Microsoft YaHei"/>
                <w:b w:val="0"/>
                <w:color w:val="000000"/>
                <w:sz w:val="19"/>
              </w:rPr>
              <w:t>0.0266</w:t>
            </w:r>
          </w:p>
        </w:tc>
      </w:tr>
    </w:tbl>
    <w:p>
      <w:pPr>
        <w:spacing w:after="20" w:line="96" w:lineRule="auto"/>
      </w:pPr>
    </w:p>
    <w:tbl>
      <w:tblPr>
        <w:tblW w:type="auto" w:w="0"/>
        <w:jc w:val="center"/>
        <w:tblLayout w:type="fixed"/>
        <w:tblLook w:firstColumn="1" w:firstRow="1" w:lastColumn="0" w:lastRow="0" w:noHBand="0" w:noVBand="1" w:val="04A0"/>
      </w:tblPr>
      <w:tblGrid>
        <w:gridCol w:w="2376"/>
        <w:gridCol w:w="1800"/>
        <w:gridCol w:w="1800"/>
        <w:gridCol w:w="1800"/>
        <w:gridCol w:w="2016"/>
      </w:tblGrid>
      <w:tr>
        <w:trPr>
          <w:cantSplit/>
          <w:tblHeader/>
        </w:trPr>
        <w:tc>
          <w:tcPr>
            <w:tcW w:type="dxa" w:w="2376"/>
            <w:vAlign w:val="center"/>
            <w:tcMar>
              <w:top w:w="65" w:type="dxa"/>
              <w:left w:w="65" w:type="dxa"/>
              <w:bottom w:w="65" w:type="dxa"/>
              <w:right w:w="65" w:type="dxa"/>
            </w:tcMar>
            <w:shd w:fill="DCE6EF"/>
            <w:tcBorders>
              <w:top w:val="single" w:sz="4" w:color="D9D9D9"/>
              <w:left w:val="single" w:sz="4" w:color="D9D9D9"/>
              <w:bottom w:val="single" w:sz="4" w:color="D9D9D9"/>
              <w:right w:val="single" w:sz="4" w:color="D9D9D9"/>
            </w:tcBorders>
          </w:tcPr>
          <w:p>
            <w:pPr>
              <w:spacing w:after="0" w:line="264" w:lineRule="auto"/>
              <w:jc w:val="left"/>
            </w:pPr>
            <w:r>
              <w:rPr>
                <w:rFonts w:ascii="Arial" w:hAnsi="Arial" w:eastAsia="Microsoft YaHei"/>
                <w:b/>
                <w:color w:val="000000"/>
                <w:sz w:val="19"/>
              </w:rPr>
              <w:t>Season</w:t>
            </w:r>
          </w:p>
        </w:tc>
        <w:tc>
          <w:tcPr>
            <w:tcW w:type="dxa" w:w="1800"/>
            <w:vAlign w:val="center"/>
            <w:tcMar>
              <w:top w:w="65" w:type="dxa"/>
              <w:left w:w="65" w:type="dxa"/>
              <w:bottom w:w="65" w:type="dxa"/>
              <w:right w:w="65" w:type="dxa"/>
            </w:tcMar>
            <w:shd w:fill="DCE6EF"/>
            <w:tcBorders>
              <w:top w:val="single" w:sz="4" w:color="D9D9D9"/>
              <w:left w:val="single" w:sz="4" w:color="D9D9D9"/>
              <w:bottom w:val="single" w:sz="4" w:color="D9D9D9"/>
              <w:right w:val="single" w:sz="4" w:color="D9D9D9"/>
            </w:tcBorders>
          </w:tcPr>
          <w:p>
            <w:pPr>
              <w:spacing w:after="0" w:line="264" w:lineRule="auto"/>
              <w:jc w:val="center"/>
            </w:pPr>
            <w:r>
              <w:rPr>
                <w:rFonts w:ascii="Arial" w:hAnsi="Arial" w:eastAsia="Microsoft YaHei"/>
                <w:b/>
                <w:color w:val="000000"/>
                <w:sz w:val="19"/>
              </w:rPr>
              <w:t>LR66 acc</w:t>
            </w:r>
          </w:p>
        </w:tc>
        <w:tc>
          <w:tcPr>
            <w:tcW w:type="dxa" w:w="1800"/>
            <w:vAlign w:val="center"/>
            <w:tcMar>
              <w:top w:w="65" w:type="dxa"/>
              <w:left w:w="65" w:type="dxa"/>
              <w:bottom w:w="65" w:type="dxa"/>
              <w:right w:w="65" w:type="dxa"/>
            </w:tcMar>
            <w:shd w:fill="DCE6EF"/>
            <w:tcBorders>
              <w:top w:val="single" w:sz="4" w:color="D9D9D9"/>
              <w:left w:val="single" w:sz="4" w:color="D9D9D9"/>
              <w:bottom w:val="single" w:sz="4" w:color="D9D9D9"/>
              <w:right w:val="single" w:sz="4" w:color="D9D9D9"/>
            </w:tcBorders>
          </w:tcPr>
          <w:p>
            <w:pPr>
              <w:spacing w:after="0" w:line="264" w:lineRule="auto"/>
              <w:jc w:val="center"/>
            </w:pPr>
            <w:r>
              <w:rPr>
                <w:rFonts w:ascii="Arial" w:hAnsi="Arial" w:eastAsia="Microsoft YaHei"/>
                <w:b/>
                <w:color w:val="000000"/>
                <w:sz w:val="19"/>
              </w:rPr>
              <w:t>LR36 acc</w:t>
            </w:r>
          </w:p>
        </w:tc>
        <w:tc>
          <w:tcPr>
            <w:tcW w:type="dxa" w:w="1800"/>
            <w:vAlign w:val="center"/>
            <w:tcMar>
              <w:top w:w="65" w:type="dxa"/>
              <w:left w:w="65" w:type="dxa"/>
              <w:bottom w:w="65" w:type="dxa"/>
              <w:right w:w="65" w:type="dxa"/>
            </w:tcMar>
            <w:shd w:fill="DCE6EF"/>
            <w:tcBorders>
              <w:top w:val="single" w:sz="4" w:color="D9D9D9"/>
              <w:left w:val="single" w:sz="4" w:color="D9D9D9"/>
              <w:bottom w:val="single" w:sz="4" w:color="D9D9D9"/>
              <w:right w:val="single" w:sz="4" w:color="D9D9D9"/>
            </w:tcBorders>
          </w:tcPr>
          <w:p>
            <w:pPr>
              <w:spacing w:after="0" w:line="264" w:lineRule="auto"/>
              <w:jc w:val="center"/>
            </w:pPr>
            <w:r>
              <w:rPr>
                <w:rFonts w:ascii="Arial" w:hAnsi="Arial" w:eastAsia="Microsoft YaHei"/>
                <w:b/>
                <w:color w:val="000000"/>
                <w:sz w:val="19"/>
              </w:rPr>
              <w:t>Net correct</w:t>
            </w:r>
          </w:p>
        </w:tc>
        <w:tc>
          <w:tcPr>
            <w:tcW w:type="dxa" w:w="2016"/>
            <w:vAlign w:val="center"/>
            <w:tcMar>
              <w:top w:w="65" w:type="dxa"/>
              <w:left w:w="65" w:type="dxa"/>
              <w:bottom w:w="65" w:type="dxa"/>
              <w:right w:w="65" w:type="dxa"/>
            </w:tcMar>
            <w:shd w:fill="DCE6EF"/>
            <w:tcBorders>
              <w:top w:val="single" w:sz="4" w:color="D9D9D9"/>
              <w:left w:val="single" w:sz="4" w:color="D9D9D9"/>
              <w:bottom w:val="single" w:sz="4" w:color="D9D9D9"/>
              <w:right w:val="single" w:sz="4" w:color="D9D9D9"/>
            </w:tcBorders>
          </w:tcPr>
          <w:p>
            <w:pPr>
              <w:spacing w:after="0" w:line="264" w:lineRule="auto"/>
              <w:jc w:val="center"/>
            </w:pPr>
            <w:r>
              <w:rPr>
                <w:rFonts w:ascii="Arial" w:hAnsi="Arial" w:eastAsia="Microsoft YaHei"/>
                <w:b/>
                <w:color w:val="000000"/>
                <w:sz w:val="19"/>
              </w:rPr>
              <w:t>LL delta</w:t>
            </w:r>
          </w:p>
        </w:tc>
      </w:tr>
      <w:tr>
        <w:trPr>
          <w:cantSplit/>
        </w:trPr>
        <w:tc>
          <w:tcPr>
            <w:tcW w:type="dxa" w:w="2376"/>
            <w:vAlign w:val="center"/>
            <w:tcMar>
              <w:top w:w="65" w:type="dxa"/>
              <w:left w:w="65" w:type="dxa"/>
              <w:bottom w:w="65" w:type="dxa"/>
              <w:right w:w="65" w:type="dxa"/>
            </w:tcMar>
            <w:shd w:fill="FFFFFF"/>
            <w:tcBorders>
              <w:top w:val="single" w:sz="4" w:color="D9D9D9"/>
              <w:left w:val="single" w:sz="4" w:color="D9D9D9"/>
              <w:bottom w:val="single" w:sz="4" w:color="D9D9D9"/>
              <w:right w:val="single" w:sz="4" w:color="D9D9D9"/>
            </w:tcBorders>
          </w:tcPr>
          <w:p>
            <w:pPr>
              <w:spacing w:after="0" w:line="264" w:lineRule="auto"/>
              <w:jc w:val="left"/>
            </w:pPr>
            <w:r>
              <w:rPr>
                <w:rFonts w:ascii="Arial" w:hAnsi="Arial" w:eastAsia="Microsoft YaHei"/>
                <w:b w:val="0"/>
                <w:color w:val="000000"/>
                <w:sz w:val="19"/>
              </w:rPr>
              <w:t>2020-21</w:t>
            </w:r>
          </w:p>
        </w:tc>
        <w:tc>
          <w:tcPr>
            <w:tcW w:type="dxa" w:w="1800"/>
            <w:vAlign w:val="center"/>
            <w:tcMar>
              <w:top w:w="65" w:type="dxa"/>
              <w:left w:w="65" w:type="dxa"/>
              <w:bottom w:w="65" w:type="dxa"/>
              <w:right w:w="65" w:type="dxa"/>
            </w:tcMar>
            <w:shd w:fill="FFFFFF"/>
            <w:tcBorders>
              <w:top w:val="single" w:sz="4" w:color="D9D9D9"/>
              <w:left w:val="single" w:sz="4" w:color="D9D9D9"/>
              <w:bottom w:val="single" w:sz="4" w:color="D9D9D9"/>
              <w:right w:val="single" w:sz="4" w:color="D9D9D9"/>
            </w:tcBorders>
          </w:tcPr>
          <w:p>
            <w:pPr>
              <w:spacing w:after="0" w:line="264" w:lineRule="auto"/>
              <w:jc w:val="center"/>
            </w:pPr>
            <w:r>
              <w:rPr>
                <w:rFonts w:ascii="Arial" w:hAnsi="Arial" w:eastAsia="Microsoft YaHei"/>
                <w:b w:val="0"/>
                <w:color w:val="000000"/>
                <w:sz w:val="19"/>
              </w:rPr>
              <w:t>41.50%</w:t>
            </w:r>
          </w:p>
        </w:tc>
        <w:tc>
          <w:tcPr>
            <w:tcW w:type="dxa" w:w="1800"/>
            <w:vAlign w:val="center"/>
            <w:tcMar>
              <w:top w:w="65" w:type="dxa"/>
              <w:left w:w="65" w:type="dxa"/>
              <w:bottom w:w="65" w:type="dxa"/>
              <w:right w:w="65" w:type="dxa"/>
            </w:tcMar>
            <w:shd w:fill="FFFFFF"/>
            <w:tcBorders>
              <w:top w:val="single" w:sz="4" w:color="D9D9D9"/>
              <w:left w:val="single" w:sz="4" w:color="D9D9D9"/>
              <w:bottom w:val="single" w:sz="4" w:color="D9D9D9"/>
              <w:right w:val="single" w:sz="4" w:color="D9D9D9"/>
            </w:tcBorders>
          </w:tcPr>
          <w:p>
            <w:pPr>
              <w:spacing w:after="0" w:line="264" w:lineRule="auto"/>
              <w:jc w:val="center"/>
            </w:pPr>
            <w:r>
              <w:rPr>
                <w:rFonts w:ascii="Arial" w:hAnsi="Arial" w:eastAsia="Microsoft YaHei"/>
                <w:b w:val="0"/>
                <w:color w:val="000000"/>
                <w:sz w:val="19"/>
              </w:rPr>
              <w:t>41.94%</w:t>
            </w:r>
          </w:p>
        </w:tc>
        <w:tc>
          <w:tcPr>
            <w:tcW w:type="dxa" w:w="1800"/>
            <w:vAlign w:val="center"/>
            <w:tcMar>
              <w:top w:w="65" w:type="dxa"/>
              <w:left w:w="65" w:type="dxa"/>
              <w:bottom w:w="65" w:type="dxa"/>
              <w:right w:w="65" w:type="dxa"/>
            </w:tcMar>
            <w:shd w:fill="FFFFFF"/>
            <w:tcBorders>
              <w:top w:val="single" w:sz="4" w:color="D9D9D9"/>
              <w:left w:val="single" w:sz="4" w:color="D9D9D9"/>
              <w:bottom w:val="single" w:sz="4" w:color="D9D9D9"/>
              <w:right w:val="single" w:sz="4" w:color="D9D9D9"/>
            </w:tcBorders>
          </w:tcPr>
          <w:p>
            <w:pPr>
              <w:spacing w:after="0" w:line="264" w:lineRule="auto"/>
              <w:jc w:val="center"/>
            </w:pPr>
            <w:r>
              <w:rPr>
                <w:rFonts w:ascii="Arial" w:hAnsi="Arial" w:eastAsia="Microsoft YaHei"/>
                <w:b w:val="0"/>
                <w:color w:val="000000"/>
                <w:sz w:val="19"/>
              </w:rPr>
              <w:t>9</w:t>
            </w:r>
          </w:p>
        </w:tc>
        <w:tc>
          <w:tcPr>
            <w:tcW w:type="dxa" w:w="2016"/>
            <w:vAlign w:val="center"/>
            <w:tcMar>
              <w:top w:w="65" w:type="dxa"/>
              <w:left w:w="65" w:type="dxa"/>
              <w:bottom w:w="65" w:type="dxa"/>
              <w:right w:w="65" w:type="dxa"/>
            </w:tcMar>
            <w:shd w:fill="FFFFFF"/>
            <w:tcBorders>
              <w:top w:val="single" w:sz="4" w:color="D9D9D9"/>
              <w:left w:val="single" w:sz="4" w:color="D9D9D9"/>
              <w:bottom w:val="single" w:sz="4" w:color="D9D9D9"/>
              <w:right w:val="single" w:sz="4" w:color="D9D9D9"/>
            </w:tcBorders>
          </w:tcPr>
          <w:p>
            <w:pPr>
              <w:spacing w:after="0" w:line="264" w:lineRule="auto"/>
              <w:jc w:val="center"/>
            </w:pPr>
            <w:r>
              <w:rPr>
                <w:rFonts w:ascii="Arial" w:hAnsi="Arial" w:eastAsia="Microsoft YaHei"/>
                <w:b w:val="0"/>
                <w:color w:val="000000"/>
                <w:sz w:val="19"/>
              </w:rPr>
              <w:t>-0.007799</w:t>
            </w:r>
          </w:p>
        </w:tc>
      </w:tr>
      <w:tr>
        <w:trPr>
          <w:cantSplit/>
        </w:trPr>
        <w:tc>
          <w:tcPr>
            <w:tcW w:type="dxa" w:w="2376"/>
            <w:vAlign w:val="center"/>
            <w:tcMar>
              <w:top w:w="65" w:type="dxa"/>
              <w:left w:w="65" w:type="dxa"/>
              <w:bottom w:w="65" w:type="dxa"/>
              <w:right w:w="65" w:type="dxa"/>
            </w:tcMar>
            <w:shd w:fill="F4F6F8"/>
            <w:tcBorders>
              <w:top w:val="single" w:sz="4" w:color="D9D9D9"/>
              <w:left w:val="single" w:sz="4" w:color="D9D9D9"/>
              <w:bottom w:val="single" w:sz="4" w:color="D9D9D9"/>
              <w:right w:val="single" w:sz="4" w:color="D9D9D9"/>
            </w:tcBorders>
          </w:tcPr>
          <w:p>
            <w:pPr>
              <w:spacing w:after="0" w:line="264" w:lineRule="auto"/>
              <w:jc w:val="left"/>
            </w:pPr>
            <w:r>
              <w:rPr>
                <w:rFonts w:ascii="Arial" w:hAnsi="Arial" w:eastAsia="Microsoft YaHei"/>
                <w:b w:val="0"/>
                <w:color w:val="000000"/>
                <w:sz w:val="19"/>
              </w:rPr>
              <w:t>2021-22</w:t>
            </w:r>
          </w:p>
        </w:tc>
        <w:tc>
          <w:tcPr>
            <w:tcW w:type="dxa" w:w="1800"/>
            <w:vAlign w:val="center"/>
            <w:tcMar>
              <w:top w:w="65" w:type="dxa"/>
              <w:left w:w="65" w:type="dxa"/>
              <w:bottom w:w="65" w:type="dxa"/>
              <w:right w:w="65" w:type="dxa"/>
            </w:tcMar>
            <w:shd w:fill="F4F6F8"/>
            <w:tcBorders>
              <w:top w:val="single" w:sz="4" w:color="D9D9D9"/>
              <w:left w:val="single" w:sz="4" w:color="D9D9D9"/>
              <w:bottom w:val="single" w:sz="4" w:color="D9D9D9"/>
              <w:right w:val="single" w:sz="4" w:color="D9D9D9"/>
            </w:tcBorders>
          </w:tcPr>
          <w:p>
            <w:pPr>
              <w:spacing w:after="0" w:line="264" w:lineRule="auto"/>
              <w:jc w:val="center"/>
            </w:pPr>
            <w:r>
              <w:rPr>
                <w:rFonts w:ascii="Arial" w:hAnsi="Arial" w:eastAsia="Microsoft YaHei"/>
                <w:b w:val="0"/>
                <w:color w:val="000000"/>
                <w:sz w:val="19"/>
              </w:rPr>
              <w:t>43.96%</w:t>
            </w:r>
          </w:p>
        </w:tc>
        <w:tc>
          <w:tcPr>
            <w:tcW w:type="dxa" w:w="1800"/>
            <w:vAlign w:val="center"/>
            <w:tcMar>
              <w:top w:w="65" w:type="dxa"/>
              <w:left w:w="65" w:type="dxa"/>
              <w:bottom w:w="65" w:type="dxa"/>
              <w:right w:w="65" w:type="dxa"/>
            </w:tcMar>
            <w:shd w:fill="F4F6F8"/>
            <w:tcBorders>
              <w:top w:val="single" w:sz="4" w:color="D9D9D9"/>
              <w:left w:val="single" w:sz="4" w:color="D9D9D9"/>
              <w:bottom w:val="single" w:sz="4" w:color="D9D9D9"/>
              <w:right w:val="single" w:sz="4" w:color="D9D9D9"/>
            </w:tcBorders>
          </w:tcPr>
          <w:p>
            <w:pPr>
              <w:spacing w:after="0" w:line="264" w:lineRule="auto"/>
              <w:jc w:val="center"/>
            </w:pPr>
            <w:r>
              <w:rPr>
                <w:rFonts w:ascii="Arial" w:hAnsi="Arial" w:eastAsia="Microsoft YaHei"/>
                <w:b w:val="0"/>
                <w:color w:val="000000"/>
                <w:sz w:val="19"/>
              </w:rPr>
              <w:t>44.79%</w:t>
            </w:r>
          </w:p>
        </w:tc>
        <w:tc>
          <w:tcPr>
            <w:tcW w:type="dxa" w:w="1800"/>
            <w:vAlign w:val="center"/>
            <w:tcMar>
              <w:top w:w="65" w:type="dxa"/>
              <w:left w:w="65" w:type="dxa"/>
              <w:bottom w:w="65" w:type="dxa"/>
              <w:right w:w="65" w:type="dxa"/>
            </w:tcMar>
            <w:shd w:fill="F4F6F8"/>
            <w:tcBorders>
              <w:top w:val="single" w:sz="4" w:color="D9D9D9"/>
              <w:left w:val="single" w:sz="4" w:color="D9D9D9"/>
              <w:bottom w:val="single" w:sz="4" w:color="D9D9D9"/>
              <w:right w:val="single" w:sz="4" w:color="D9D9D9"/>
            </w:tcBorders>
          </w:tcPr>
          <w:p>
            <w:pPr>
              <w:spacing w:after="0" w:line="264" w:lineRule="auto"/>
              <w:jc w:val="center"/>
            </w:pPr>
            <w:r>
              <w:rPr>
                <w:rFonts w:ascii="Arial" w:hAnsi="Arial" w:eastAsia="Microsoft YaHei"/>
                <w:b w:val="0"/>
                <w:color w:val="000000"/>
                <w:sz w:val="19"/>
              </w:rPr>
              <w:t>17</w:t>
            </w:r>
          </w:p>
        </w:tc>
        <w:tc>
          <w:tcPr>
            <w:tcW w:type="dxa" w:w="2016"/>
            <w:vAlign w:val="center"/>
            <w:tcMar>
              <w:top w:w="65" w:type="dxa"/>
              <w:left w:w="65" w:type="dxa"/>
              <w:bottom w:w="65" w:type="dxa"/>
              <w:right w:w="65" w:type="dxa"/>
            </w:tcMar>
            <w:shd w:fill="F4F6F8"/>
            <w:tcBorders>
              <w:top w:val="single" w:sz="4" w:color="D9D9D9"/>
              <w:left w:val="single" w:sz="4" w:color="D9D9D9"/>
              <w:bottom w:val="single" w:sz="4" w:color="D9D9D9"/>
              <w:right w:val="single" w:sz="4" w:color="D9D9D9"/>
            </w:tcBorders>
          </w:tcPr>
          <w:p>
            <w:pPr>
              <w:spacing w:after="0" w:line="264" w:lineRule="auto"/>
              <w:jc w:val="center"/>
            </w:pPr>
            <w:r>
              <w:rPr>
                <w:rFonts w:ascii="Arial" w:hAnsi="Arial" w:eastAsia="Microsoft YaHei"/>
                <w:b w:val="0"/>
                <w:color w:val="000000"/>
                <w:sz w:val="19"/>
              </w:rPr>
              <w:t>-0.002448</w:t>
            </w:r>
          </w:p>
        </w:tc>
      </w:tr>
      <w:tr>
        <w:trPr>
          <w:cantSplit/>
        </w:trPr>
        <w:tc>
          <w:tcPr>
            <w:tcW w:type="dxa" w:w="2376"/>
            <w:vAlign w:val="center"/>
            <w:tcMar>
              <w:top w:w="65" w:type="dxa"/>
              <w:left w:w="65" w:type="dxa"/>
              <w:bottom w:w="65" w:type="dxa"/>
              <w:right w:w="65" w:type="dxa"/>
            </w:tcMar>
            <w:shd w:fill="FFFFFF"/>
            <w:tcBorders>
              <w:top w:val="single" w:sz="4" w:color="D9D9D9"/>
              <w:left w:val="single" w:sz="4" w:color="D9D9D9"/>
              <w:bottom w:val="single" w:sz="4" w:color="D9D9D9"/>
              <w:right w:val="single" w:sz="4" w:color="D9D9D9"/>
            </w:tcBorders>
          </w:tcPr>
          <w:p>
            <w:pPr>
              <w:spacing w:after="0" w:line="264" w:lineRule="auto"/>
              <w:jc w:val="left"/>
            </w:pPr>
            <w:r>
              <w:rPr>
                <w:rFonts w:ascii="Arial" w:hAnsi="Arial" w:eastAsia="Microsoft YaHei"/>
                <w:b w:val="0"/>
                <w:color w:val="000000"/>
                <w:sz w:val="19"/>
              </w:rPr>
              <w:t>2022-23</w:t>
            </w:r>
          </w:p>
        </w:tc>
        <w:tc>
          <w:tcPr>
            <w:tcW w:type="dxa" w:w="1800"/>
            <w:vAlign w:val="center"/>
            <w:tcMar>
              <w:top w:w="65" w:type="dxa"/>
              <w:left w:w="65" w:type="dxa"/>
              <w:bottom w:w="65" w:type="dxa"/>
              <w:right w:w="65" w:type="dxa"/>
            </w:tcMar>
            <w:shd w:fill="FFFFFF"/>
            <w:tcBorders>
              <w:top w:val="single" w:sz="4" w:color="D9D9D9"/>
              <w:left w:val="single" w:sz="4" w:color="D9D9D9"/>
              <w:bottom w:val="single" w:sz="4" w:color="D9D9D9"/>
              <w:right w:val="single" w:sz="4" w:color="D9D9D9"/>
            </w:tcBorders>
          </w:tcPr>
          <w:p>
            <w:pPr>
              <w:spacing w:after="0" w:line="264" w:lineRule="auto"/>
              <w:jc w:val="center"/>
            </w:pPr>
            <w:r>
              <w:rPr>
                <w:rFonts w:ascii="Arial" w:hAnsi="Arial" w:eastAsia="Microsoft YaHei"/>
                <w:b w:val="0"/>
                <w:color w:val="000000"/>
                <w:sz w:val="19"/>
              </w:rPr>
              <w:t>46.17%</w:t>
            </w:r>
          </w:p>
        </w:tc>
        <w:tc>
          <w:tcPr>
            <w:tcW w:type="dxa" w:w="1800"/>
            <w:vAlign w:val="center"/>
            <w:tcMar>
              <w:top w:w="65" w:type="dxa"/>
              <w:left w:w="65" w:type="dxa"/>
              <w:bottom w:w="65" w:type="dxa"/>
              <w:right w:w="65" w:type="dxa"/>
            </w:tcMar>
            <w:shd w:fill="FFFFFF"/>
            <w:tcBorders>
              <w:top w:val="single" w:sz="4" w:color="D9D9D9"/>
              <w:left w:val="single" w:sz="4" w:color="D9D9D9"/>
              <w:bottom w:val="single" w:sz="4" w:color="D9D9D9"/>
              <w:right w:val="single" w:sz="4" w:color="D9D9D9"/>
            </w:tcBorders>
          </w:tcPr>
          <w:p>
            <w:pPr>
              <w:spacing w:after="0" w:line="264" w:lineRule="auto"/>
              <w:jc w:val="center"/>
            </w:pPr>
            <w:r>
              <w:rPr>
                <w:rFonts w:ascii="Arial" w:hAnsi="Arial" w:eastAsia="Microsoft YaHei"/>
                <w:b w:val="0"/>
                <w:color w:val="000000"/>
                <w:sz w:val="19"/>
              </w:rPr>
              <w:t>46.51%</w:t>
            </w:r>
          </w:p>
        </w:tc>
        <w:tc>
          <w:tcPr>
            <w:tcW w:type="dxa" w:w="1800"/>
            <w:vAlign w:val="center"/>
            <w:tcMar>
              <w:top w:w="65" w:type="dxa"/>
              <w:left w:w="65" w:type="dxa"/>
              <w:bottom w:w="65" w:type="dxa"/>
              <w:right w:w="65" w:type="dxa"/>
            </w:tcMar>
            <w:shd w:fill="FFFFFF"/>
            <w:tcBorders>
              <w:top w:val="single" w:sz="4" w:color="D9D9D9"/>
              <w:left w:val="single" w:sz="4" w:color="D9D9D9"/>
              <w:bottom w:val="single" w:sz="4" w:color="D9D9D9"/>
              <w:right w:val="single" w:sz="4" w:color="D9D9D9"/>
            </w:tcBorders>
          </w:tcPr>
          <w:p>
            <w:pPr>
              <w:spacing w:after="0" w:line="264" w:lineRule="auto"/>
              <w:jc w:val="center"/>
            </w:pPr>
            <w:r>
              <w:rPr>
                <w:rFonts w:ascii="Arial" w:hAnsi="Arial" w:eastAsia="Microsoft YaHei"/>
                <w:b w:val="0"/>
                <w:color w:val="000000"/>
                <w:sz w:val="19"/>
              </w:rPr>
              <w:t>7</w:t>
            </w:r>
          </w:p>
        </w:tc>
        <w:tc>
          <w:tcPr>
            <w:tcW w:type="dxa" w:w="2016"/>
            <w:vAlign w:val="center"/>
            <w:tcMar>
              <w:top w:w="65" w:type="dxa"/>
              <w:left w:w="65" w:type="dxa"/>
              <w:bottom w:w="65" w:type="dxa"/>
              <w:right w:w="65" w:type="dxa"/>
            </w:tcMar>
            <w:shd w:fill="FFFFFF"/>
            <w:tcBorders>
              <w:top w:val="single" w:sz="4" w:color="D9D9D9"/>
              <w:left w:val="single" w:sz="4" w:color="D9D9D9"/>
              <w:bottom w:val="single" w:sz="4" w:color="D9D9D9"/>
              <w:right w:val="single" w:sz="4" w:color="D9D9D9"/>
            </w:tcBorders>
          </w:tcPr>
          <w:p>
            <w:pPr>
              <w:spacing w:after="0" w:line="264" w:lineRule="auto"/>
              <w:jc w:val="center"/>
            </w:pPr>
            <w:r>
              <w:rPr>
                <w:rFonts w:ascii="Arial" w:hAnsi="Arial" w:eastAsia="Microsoft YaHei"/>
                <w:b w:val="0"/>
                <w:color w:val="000000"/>
                <w:sz w:val="19"/>
              </w:rPr>
              <w:t>-0.000065</w:t>
            </w:r>
          </w:p>
        </w:tc>
      </w:tr>
      <w:tr>
        <w:trPr>
          <w:cantSplit/>
        </w:trPr>
        <w:tc>
          <w:tcPr>
            <w:tcW w:type="dxa" w:w="2376"/>
            <w:vAlign w:val="center"/>
            <w:tcMar>
              <w:top w:w="65" w:type="dxa"/>
              <w:left w:w="65" w:type="dxa"/>
              <w:bottom w:w="65" w:type="dxa"/>
              <w:right w:w="65" w:type="dxa"/>
            </w:tcMar>
            <w:shd w:fill="F4F6F8"/>
            <w:tcBorders>
              <w:top w:val="single" w:sz="4" w:color="D9D9D9"/>
              <w:left w:val="single" w:sz="4" w:color="D9D9D9"/>
              <w:bottom w:val="single" w:sz="4" w:color="D9D9D9"/>
              <w:right w:val="single" w:sz="4" w:color="D9D9D9"/>
            </w:tcBorders>
          </w:tcPr>
          <w:p>
            <w:pPr>
              <w:spacing w:after="0" w:line="264" w:lineRule="auto"/>
              <w:jc w:val="left"/>
            </w:pPr>
            <w:r>
              <w:rPr>
                <w:rFonts w:ascii="Arial" w:hAnsi="Arial" w:eastAsia="Microsoft YaHei"/>
                <w:b w:val="0"/>
                <w:color w:val="000000"/>
                <w:sz w:val="19"/>
              </w:rPr>
              <w:t>2023-24</w:t>
            </w:r>
          </w:p>
        </w:tc>
        <w:tc>
          <w:tcPr>
            <w:tcW w:type="dxa" w:w="1800"/>
            <w:vAlign w:val="center"/>
            <w:tcMar>
              <w:top w:w="65" w:type="dxa"/>
              <w:left w:w="65" w:type="dxa"/>
              <w:bottom w:w="65" w:type="dxa"/>
              <w:right w:w="65" w:type="dxa"/>
            </w:tcMar>
            <w:shd w:fill="F4F6F8"/>
            <w:tcBorders>
              <w:top w:val="single" w:sz="4" w:color="D9D9D9"/>
              <w:left w:val="single" w:sz="4" w:color="D9D9D9"/>
              <w:bottom w:val="single" w:sz="4" w:color="D9D9D9"/>
              <w:right w:val="single" w:sz="4" w:color="D9D9D9"/>
            </w:tcBorders>
          </w:tcPr>
          <w:p>
            <w:pPr>
              <w:spacing w:after="0" w:line="264" w:lineRule="auto"/>
              <w:jc w:val="center"/>
            </w:pPr>
            <w:r>
              <w:rPr>
                <w:rFonts w:ascii="Arial" w:hAnsi="Arial" w:eastAsia="Microsoft YaHei"/>
                <w:b w:val="0"/>
                <w:color w:val="000000"/>
                <w:sz w:val="19"/>
              </w:rPr>
              <w:t>47.64%</w:t>
            </w:r>
          </w:p>
        </w:tc>
        <w:tc>
          <w:tcPr>
            <w:tcW w:type="dxa" w:w="1800"/>
            <w:vAlign w:val="center"/>
            <w:tcMar>
              <w:top w:w="65" w:type="dxa"/>
              <w:left w:w="65" w:type="dxa"/>
              <w:bottom w:w="65" w:type="dxa"/>
              <w:right w:w="65" w:type="dxa"/>
            </w:tcMar>
            <w:shd w:fill="F4F6F8"/>
            <w:tcBorders>
              <w:top w:val="single" w:sz="4" w:color="D9D9D9"/>
              <w:left w:val="single" w:sz="4" w:color="D9D9D9"/>
              <w:bottom w:val="single" w:sz="4" w:color="D9D9D9"/>
              <w:right w:val="single" w:sz="4" w:color="D9D9D9"/>
            </w:tcBorders>
          </w:tcPr>
          <w:p>
            <w:pPr>
              <w:spacing w:after="0" w:line="264" w:lineRule="auto"/>
              <w:jc w:val="center"/>
            </w:pPr>
            <w:r>
              <w:rPr>
                <w:rFonts w:ascii="Arial" w:hAnsi="Arial" w:eastAsia="Microsoft YaHei"/>
                <w:b w:val="0"/>
                <w:color w:val="000000"/>
                <w:sz w:val="19"/>
              </w:rPr>
              <w:t>48.18%</w:t>
            </w:r>
          </w:p>
        </w:tc>
        <w:tc>
          <w:tcPr>
            <w:tcW w:type="dxa" w:w="1800"/>
            <w:vAlign w:val="center"/>
            <w:tcMar>
              <w:top w:w="65" w:type="dxa"/>
              <w:left w:w="65" w:type="dxa"/>
              <w:bottom w:w="65" w:type="dxa"/>
              <w:right w:w="65" w:type="dxa"/>
            </w:tcMar>
            <w:shd w:fill="F4F6F8"/>
            <w:tcBorders>
              <w:top w:val="single" w:sz="4" w:color="D9D9D9"/>
              <w:left w:val="single" w:sz="4" w:color="D9D9D9"/>
              <w:bottom w:val="single" w:sz="4" w:color="D9D9D9"/>
              <w:right w:val="single" w:sz="4" w:color="D9D9D9"/>
            </w:tcBorders>
          </w:tcPr>
          <w:p>
            <w:pPr>
              <w:spacing w:after="0" w:line="264" w:lineRule="auto"/>
              <w:jc w:val="center"/>
            </w:pPr>
            <w:r>
              <w:rPr>
                <w:rFonts w:ascii="Arial" w:hAnsi="Arial" w:eastAsia="Microsoft YaHei"/>
                <w:b w:val="0"/>
                <w:color w:val="000000"/>
                <w:sz w:val="19"/>
              </w:rPr>
              <w:t>11</w:t>
            </w:r>
          </w:p>
        </w:tc>
        <w:tc>
          <w:tcPr>
            <w:tcW w:type="dxa" w:w="2016"/>
            <w:vAlign w:val="center"/>
            <w:tcMar>
              <w:top w:w="65" w:type="dxa"/>
              <w:left w:w="65" w:type="dxa"/>
              <w:bottom w:w="65" w:type="dxa"/>
              <w:right w:w="65" w:type="dxa"/>
            </w:tcMar>
            <w:shd w:fill="F4F6F8"/>
            <w:tcBorders>
              <w:top w:val="single" w:sz="4" w:color="D9D9D9"/>
              <w:left w:val="single" w:sz="4" w:color="D9D9D9"/>
              <w:bottom w:val="single" w:sz="4" w:color="D9D9D9"/>
              <w:right w:val="single" w:sz="4" w:color="D9D9D9"/>
            </w:tcBorders>
          </w:tcPr>
          <w:p>
            <w:pPr>
              <w:spacing w:after="0" w:line="264" w:lineRule="auto"/>
              <w:jc w:val="center"/>
            </w:pPr>
            <w:r>
              <w:rPr>
                <w:rFonts w:ascii="Arial" w:hAnsi="Arial" w:eastAsia="Microsoft YaHei"/>
                <w:b w:val="0"/>
                <w:color w:val="000000"/>
                <w:sz w:val="19"/>
              </w:rPr>
              <w:t>-0.003654</w:t>
            </w:r>
          </w:p>
        </w:tc>
      </w:tr>
      <w:tr>
        <w:trPr>
          <w:cantSplit/>
        </w:trPr>
        <w:tc>
          <w:tcPr>
            <w:tcW w:type="dxa" w:w="2376"/>
            <w:vAlign w:val="center"/>
            <w:tcMar>
              <w:top w:w="65" w:type="dxa"/>
              <w:left w:w="65" w:type="dxa"/>
              <w:bottom w:w="65" w:type="dxa"/>
              <w:right w:w="65" w:type="dxa"/>
            </w:tcMar>
            <w:shd w:fill="FFFFFF"/>
            <w:tcBorders>
              <w:top w:val="single" w:sz="4" w:color="D9D9D9"/>
              <w:left w:val="single" w:sz="4" w:color="D9D9D9"/>
              <w:bottom w:val="single" w:sz="4" w:color="D9D9D9"/>
              <w:right w:val="single" w:sz="4" w:color="D9D9D9"/>
            </w:tcBorders>
          </w:tcPr>
          <w:p>
            <w:pPr>
              <w:spacing w:after="0" w:line="264" w:lineRule="auto"/>
              <w:jc w:val="left"/>
            </w:pPr>
            <w:r>
              <w:rPr>
                <w:rFonts w:ascii="Arial" w:hAnsi="Arial" w:eastAsia="Microsoft YaHei"/>
                <w:b w:val="0"/>
                <w:color w:val="000000"/>
                <w:sz w:val="19"/>
              </w:rPr>
              <w:t>2024-25</w:t>
            </w:r>
          </w:p>
        </w:tc>
        <w:tc>
          <w:tcPr>
            <w:tcW w:type="dxa" w:w="1800"/>
            <w:vAlign w:val="center"/>
            <w:tcMar>
              <w:top w:w="65" w:type="dxa"/>
              <w:left w:w="65" w:type="dxa"/>
              <w:bottom w:w="65" w:type="dxa"/>
              <w:right w:w="65" w:type="dxa"/>
            </w:tcMar>
            <w:shd w:fill="FFFFFF"/>
            <w:tcBorders>
              <w:top w:val="single" w:sz="4" w:color="D9D9D9"/>
              <w:left w:val="single" w:sz="4" w:color="D9D9D9"/>
              <w:bottom w:val="single" w:sz="4" w:color="D9D9D9"/>
              <w:right w:val="single" w:sz="4" w:color="D9D9D9"/>
            </w:tcBorders>
          </w:tcPr>
          <w:p>
            <w:pPr>
              <w:spacing w:after="0" w:line="264" w:lineRule="auto"/>
              <w:jc w:val="center"/>
            </w:pPr>
            <w:r>
              <w:rPr>
                <w:rFonts w:ascii="Arial" w:hAnsi="Arial" w:eastAsia="Microsoft YaHei"/>
                <w:b w:val="0"/>
                <w:color w:val="000000"/>
                <w:sz w:val="19"/>
              </w:rPr>
              <w:t>47.79%</w:t>
            </w:r>
          </w:p>
        </w:tc>
        <w:tc>
          <w:tcPr>
            <w:tcW w:type="dxa" w:w="1800"/>
            <w:vAlign w:val="center"/>
            <w:tcMar>
              <w:top w:w="65" w:type="dxa"/>
              <w:left w:w="65" w:type="dxa"/>
              <w:bottom w:w="65" w:type="dxa"/>
              <w:right w:w="65" w:type="dxa"/>
            </w:tcMar>
            <w:shd w:fill="FFFFFF"/>
            <w:tcBorders>
              <w:top w:val="single" w:sz="4" w:color="D9D9D9"/>
              <w:left w:val="single" w:sz="4" w:color="D9D9D9"/>
              <w:bottom w:val="single" w:sz="4" w:color="D9D9D9"/>
              <w:right w:val="single" w:sz="4" w:color="D9D9D9"/>
            </w:tcBorders>
          </w:tcPr>
          <w:p>
            <w:pPr>
              <w:spacing w:after="0" w:line="264" w:lineRule="auto"/>
              <w:jc w:val="center"/>
            </w:pPr>
            <w:r>
              <w:rPr>
                <w:rFonts w:ascii="Arial" w:hAnsi="Arial" w:eastAsia="Microsoft YaHei"/>
                <w:b w:val="0"/>
                <w:color w:val="000000"/>
                <w:sz w:val="19"/>
              </w:rPr>
              <w:t>47.79%</w:t>
            </w:r>
          </w:p>
        </w:tc>
        <w:tc>
          <w:tcPr>
            <w:tcW w:type="dxa" w:w="1800"/>
            <w:vAlign w:val="center"/>
            <w:tcMar>
              <w:top w:w="65" w:type="dxa"/>
              <w:left w:w="65" w:type="dxa"/>
              <w:bottom w:w="65" w:type="dxa"/>
              <w:right w:w="65" w:type="dxa"/>
            </w:tcMar>
            <w:shd w:fill="FFFFFF"/>
            <w:tcBorders>
              <w:top w:val="single" w:sz="4" w:color="D9D9D9"/>
              <w:left w:val="single" w:sz="4" w:color="D9D9D9"/>
              <w:bottom w:val="single" w:sz="4" w:color="D9D9D9"/>
              <w:right w:val="single" w:sz="4" w:color="D9D9D9"/>
            </w:tcBorders>
          </w:tcPr>
          <w:p>
            <w:pPr>
              <w:spacing w:after="0" w:line="264" w:lineRule="auto"/>
              <w:jc w:val="center"/>
            </w:pPr>
            <w:r>
              <w:rPr>
                <w:rFonts w:ascii="Arial" w:hAnsi="Arial" w:eastAsia="Microsoft YaHei"/>
                <w:b w:val="0"/>
                <w:color w:val="000000"/>
                <w:sz w:val="19"/>
              </w:rPr>
              <w:t>0</w:t>
            </w:r>
          </w:p>
        </w:tc>
        <w:tc>
          <w:tcPr>
            <w:tcW w:type="dxa" w:w="2016"/>
            <w:vAlign w:val="center"/>
            <w:tcMar>
              <w:top w:w="65" w:type="dxa"/>
              <w:left w:w="65" w:type="dxa"/>
              <w:bottom w:w="65" w:type="dxa"/>
              <w:right w:w="65" w:type="dxa"/>
            </w:tcMar>
            <w:shd w:fill="FFFFFF"/>
            <w:tcBorders>
              <w:top w:val="single" w:sz="4" w:color="D9D9D9"/>
              <w:left w:val="single" w:sz="4" w:color="D9D9D9"/>
              <w:bottom w:val="single" w:sz="4" w:color="D9D9D9"/>
              <w:right w:val="single" w:sz="4" w:color="D9D9D9"/>
            </w:tcBorders>
          </w:tcPr>
          <w:p>
            <w:pPr>
              <w:spacing w:after="0" w:line="264" w:lineRule="auto"/>
              <w:jc w:val="center"/>
            </w:pPr>
            <w:r>
              <w:rPr>
                <w:rFonts w:ascii="Arial" w:hAnsi="Arial" w:eastAsia="Microsoft YaHei"/>
                <w:b w:val="0"/>
                <w:color w:val="000000"/>
                <w:sz w:val="19"/>
              </w:rPr>
              <w:t>-0.001680</w:t>
            </w:r>
          </w:p>
        </w:tc>
      </w:tr>
      <w:tr>
        <w:trPr>
          <w:cantSplit/>
        </w:trPr>
        <w:tc>
          <w:tcPr>
            <w:tcW w:type="dxa" w:w="2376"/>
            <w:vAlign w:val="center"/>
            <w:tcMar>
              <w:top w:w="65" w:type="dxa"/>
              <w:left w:w="65" w:type="dxa"/>
              <w:bottom w:w="65" w:type="dxa"/>
              <w:right w:w="65" w:type="dxa"/>
            </w:tcMar>
            <w:shd w:fill="F4F6F8"/>
            <w:tcBorders>
              <w:top w:val="single" w:sz="4" w:color="D9D9D9"/>
              <w:left w:val="single" w:sz="4" w:color="D9D9D9"/>
              <w:bottom w:val="single" w:sz="4" w:color="D9D9D9"/>
              <w:right w:val="single" w:sz="4" w:color="D9D9D9"/>
            </w:tcBorders>
          </w:tcPr>
          <w:p>
            <w:pPr>
              <w:spacing w:after="0" w:line="264" w:lineRule="auto"/>
              <w:jc w:val="left"/>
            </w:pPr>
            <w:r>
              <w:rPr>
                <w:rFonts w:ascii="Arial" w:hAnsi="Arial" w:eastAsia="Microsoft YaHei"/>
                <w:b w:val="0"/>
                <w:color w:val="000000"/>
                <w:sz w:val="19"/>
              </w:rPr>
              <w:t>2025-26</w:t>
            </w:r>
          </w:p>
        </w:tc>
        <w:tc>
          <w:tcPr>
            <w:tcW w:type="dxa" w:w="1800"/>
            <w:vAlign w:val="center"/>
            <w:tcMar>
              <w:top w:w="65" w:type="dxa"/>
              <w:left w:w="65" w:type="dxa"/>
              <w:bottom w:w="65" w:type="dxa"/>
              <w:right w:w="65" w:type="dxa"/>
            </w:tcMar>
            <w:shd w:fill="F4F6F8"/>
            <w:tcBorders>
              <w:top w:val="single" w:sz="4" w:color="D9D9D9"/>
              <w:left w:val="single" w:sz="4" w:color="D9D9D9"/>
              <w:bottom w:val="single" w:sz="4" w:color="D9D9D9"/>
              <w:right w:val="single" w:sz="4" w:color="D9D9D9"/>
            </w:tcBorders>
          </w:tcPr>
          <w:p>
            <w:pPr>
              <w:spacing w:after="0" w:line="264" w:lineRule="auto"/>
              <w:jc w:val="center"/>
            </w:pPr>
            <w:r>
              <w:rPr>
                <w:rFonts w:ascii="Arial" w:hAnsi="Arial" w:eastAsia="Microsoft YaHei"/>
                <w:b w:val="0"/>
                <w:color w:val="000000"/>
                <w:sz w:val="19"/>
              </w:rPr>
              <w:t>46.71%</w:t>
            </w:r>
          </w:p>
        </w:tc>
        <w:tc>
          <w:tcPr>
            <w:tcW w:type="dxa" w:w="1800"/>
            <w:vAlign w:val="center"/>
            <w:tcMar>
              <w:top w:w="65" w:type="dxa"/>
              <w:left w:w="65" w:type="dxa"/>
              <w:bottom w:w="65" w:type="dxa"/>
              <w:right w:w="65" w:type="dxa"/>
            </w:tcMar>
            <w:shd w:fill="F4F6F8"/>
            <w:tcBorders>
              <w:top w:val="single" w:sz="4" w:color="D9D9D9"/>
              <w:left w:val="single" w:sz="4" w:color="D9D9D9"/>
              <w:bottom w:val="single" w:sz="4" w:color="D9D9D9"/>
              <w:right w:val="single" w:sz="4" w:color="D9D9D9"/>
            </w:tcBorders>
          </w:tcPr>
          <w:p>
            <w:pPr>
              <w:spacing w:after="0" w:line="264" w:lineRule="auto"/>
              <w:jc w:val="center"/>
            </w:pPr>
            <w:r>
              <w:rPr>
                <w:rFonts w:ascii="Arial" w:hAnsi="Arial" w:eastAsia="Microsoft YaHei"/>
                <w:b w:val="0"/>
                <w:color w:val="000000"/>
                <w:sz w:val="19"/>
              </w:rPr>
              <w:t>47.20%</w:t>
            </w:r>
          </w:p>
        </w:tc>
        <w:tc>
          <w:tcPr>
            <w:tcW w:type="dxa" w:w="1800"/>
            <w:vAlign w:val="center"/>
            <w:tcMar>
              <w:top w:w="65" w:type="dxa"/>
              <w:left w:w="65" w:type="dxa"/>
              <w:bottom w:w="65" w:type="dxa"/>
              <w:right w:w="65" w:type="dxa"/>
            </w:tcMar>
            <w:shd w:fill="F4F6F8"/>
            <w:tcBorders>
              <w:top w:val="single" w:sz="4" w:color="D9D9D9"/>
              <w:left w:val="single" w:sz="4" w:color="D9D9D9"/>
              <w:bottom w:val="single" w:sz="4" w:color="D9D9D9"/>
              <w:right w:val="single" w:sz="4" w:color="D9D9D9"/>
            </w:tcBorders>
          </w:tcPr>
          <w:p>
            <w:pPr>
              <w:spacing w:after="0" w:line="264" w:lineRule="auto"/>
              <w:jc w:val="center"/>
            </w:pPr>
            <w:r>
              <w:rPr>
                <w:rFonts w:ascii="Arial" w:hAnsi="Arial" w:eastAsia="Microsoft YaHei"/>
                <w:b w:val="0"/>
                <w:color w:val="000000"/>
                <w:sz w:val="19"/>
              </w:rPr>
              <w:t>10</w:t>
            </w:r>
          </w:p>
        </w:tc>
        <w:tc>
          <w:tcPr>
            <w:tcW w:type="dxa" w:w="2016"/>
            <w:vAlign w:val="center"/>
            <w:tcMar>
              <w:top w:w="65" w:type="dxa"/>
              <w:left w:w="65" w:type="dxa"/>
              <w:bottom w:w="65" w:type="dxa"/>
              <w:right w:w="65" w:type="dxa"/>
            </w:tcMar>
            <w:shd w:fill="F4F6F8"/>
            <w:tcBorders>
              <w:top w:val="single" w:sz="4" w:color="D9D9D9"/>
              <w:left w:val="single" w:sz="4" w:color="D9D9D9"/>
              <w:bottom w:val="single" w:sz="4" w:color="D9D9D9"/>
              <w:right w:val="single" w:sz="4" w:color="D9D9D9"/>
            </w:tcBorders>
          </w:tcPr>
          <w:p>
            <w:pPr>
              <w:spacing w:after="0" w:line="264" w:lineRule="auto"/>
              <w:jc w:val="center"/>
            </w:pPr>
            <w:r>
              <w:rPr>
                <w:rFonts w:ascii="Arial" w:hAnsi="Arial" w:eastAsia="Microsoft YaHei"/>
                <w:b w:val="0"/>
                <w:color w:val="000000"/>
                <w:sz w:val="19"/>
              </w:rPr>
              <w:t>-0.002127</w:t>
            </w:r>
          </w:p>
        </w:tc>
      </w:tr>
    </w:tbl>
    <w:p>
      <w:pPr>
        <w:spacing w:after="20" w:line="96" w:lineRule="auto"/>
      </w:pPr>
    </w:p>
    <w:p>
      <w:pPr>
        <w:widowControl/>
      </w:pPr>
      <w:r>
        <w:rPr>
          <w:rFonts w:ascii="Arial" w:hAnsi="Arial" w:eastAsia="Microsoft YaHei"/>
          <w:b w:val="0"/>
          <w:color w:val="000000"/>
          <w:sz w:val="22"/>
        </w:rPr>
        <w:t>Accuracy increased in five seasons and tied in one; LL decreased in all six. Correct predictions rose from 5,574 to 5,628. Macro F1 and Draw F1 declined, so improvement is not uniform across outcome classes.</w:t>
      </w:r>
    </w:p>
    <w:p>
      <w:pPr>
        <w:widowControl/>
      </w:pPr>
      <w:r>
        <w:rPr>
          <w:rFonts w:ascii="Arial" w:hAnsi="Arial" w:eastAsia="Microsoft YaHei"/>
          <w:b w:val="0"/>
          <w:color w:val="000000"/>
          <w:sz w:val="22"/>
        </w:rPr>
        <w:t>The pooled accuracy change was +0.442 percentage points, with a primary date-cluster 95% interval of approximately −0.016 to +0.911 points. The LL change was −0.002962, with an interval of −0.004573 to −0.001312. The evidence for probability quality is stronger than for accuracy.</w:t>
      </w:r>
    </w:p>
    <w:p>
      <w:r>
        <w:br w:type="page"/>
      </w:r>
    </w:p>
    <w:p>
      <w:pPr>
        <w:pStyle w:val="Heading1"/>
      </w:pPr>
      <w:r>
        <w:rPr>
          <w:rFonts w:ascii="Arial" w:hAnsi="Arial" w:eastAsia="Microsoft YaHei"/>
          <w:b/>
          <w:color w:val="000000"/>
          <w:sz w:val="30"/>
        </w:rPr>
        <w:t>Cross Division Results and Model Size</w:t>
      </w:r>
    </w:p>
    <w:tbl>
      <w:tblPr>
        <w:tblW w:type="auto" w:w="0"/>
        <w:jc w:val="center"/>
        <w:tblLayout w:type="fixed"/>
        <w:tblLook w:firstColumn="1" w:firstRow="1" w:lastColumn="0" w:lastRow="0" w:noHBand="0" w:noVBand="1" w:val="04A0"/>
      </w:tblPr>
      <w:tblGrid>
        <w:gridCol w:w="2376"/>
        <w:gridCol w:w="1800"/>
        <w:gridCol w:w="1800"/>
        <w:gridCol w:w="1800"/>
        <w:gridCol w:w="2016"/>
      </w:tblGrid>
      <w:tr>
        <w:trPr>
          <w:cantSplit/>
          <w:tblHeader/>
        </w:trPr>
        <w:tc>
          <w:tcPr>
            <w:tcW w:type="dxa" w:w="2376"/>
            <w:vAlign w:val="center"/>
            <w:tcMar>
              <w:top w:w="65" w:type="dxa"/>
              <w:left w:w="65" w:type="dxa"/>
              <w:bottom w:w="65" w:type="dxa"/>
              <w:right w:w="65" w:type="dxa"/>
            </w:tcMar>
            <w:shd w:fill="DCE6EF"/>
            <w:tcBorders>
              <w:top w:val="single" w:sz="4" w:color="D9D9D9"/>
              <w:left w:val="single" w:sz="4" w:color="D9D9D9"/>
              <w:bottom w:val="single" w:sz="4" w:color="D9D9D9"/>
              <w:right w:val="single" w:sz="4" w:color="D9D9D9"/>
            </w:tcBorders>
          </w:tcPr>
          <w:p>
            <w:pPr>
              <w:spacing w:after="0" w:line="264" w:lineRule="auto"/>
              <w:jc w:val="left"/>
            </w:pPr>
            <w:r>
              <w:rPr>
                <w:rFonts w:ascii="Arial" w:hAnsi="Arial" w:eastAsia="Microsoft YaHei"/>
                <w:b/>
                <w:color w:val="000000"/>
                <w:sz w:val="19"/>
              </w:rPr>
              <w:t>League</w:t>
            </w:r>
          </w:p>
        </w:tc>
        <w:tc>
          <w:tcPr>
            <w:tcW w:type="dxa" w:w="1800"/>
            <w:vAlign w:val="center"/>
            <w:tcMar>
              <w:top w:w="65" w:type="dxa"/>
              <w:left w:w="65" w:type="dxa"/>
              <w:bottom w:w="65" w:type="dxa"/>
              <w:right w:w="65" w:type="dxa"/>
            </w:tcMar>
            <w:shd w:fill="DCE6EF"/>
            <w:tcBorders>
              <w:top w:val="single" w:sz="4" w:color="D9D9D9"/>
              <w:left w:val="single" w:sz="4" w:color="D9D9D9"/>
              <w:bottom w:val="single" w:sz="4" w:color="D9D9D9"/>
              <w:right w:val="single" w:sz="4" w:color="D9D9D9"/>
            </w:tcBorders>
          </w:tcPr>
          <w:p>
            <w:pPr>
              <w:spacing w:after="0" w:line="264" w:lineRule="auto"/>
              <w:jc w:val="center"/>
            </w:pPr>
            <w:r>
              <w:rPr>
                <w:rFonts w:ascii="Arial" w:hAnsi="Arial" w:eastAsia="Microsoft YaHei"/>
                <w:b/>
                <w:color w:val="000000"/>
                <w:sz w:val="19"/>
              </w:rPr>
              <w:t>LR66 acc</w:t>
            </w:r>
          </w:p>
        </w:tc>
        <w:tc>
          <w:tcPr>
            <w:tcW w:type="dxa" w:w="1800"/>
            <w:vAlign w:val="center"/>
            <w:tcMar>
              <w:top w:w="65" w:type="dxa"/>
              <w:left w:w="65" w:type="dxa"/>
              <w:bottom w:w="65" w:type="dxa"/>
              <w:right w:w="65" w:type="dxa"/>
            </w:tcMar>
            <w:shd w:fill="DCE6EF"/>
            <w:tcBorders>
              <w:top w:val="single" w:sz="4" w:color="D9D9D9"/>
              <w:left w:val="single" w:sz="4" w:color="D9D9D9"/>
              <w:bottom w:val="single" w:sz="4" w:color="D9D9D9"/>
              <w:right w:val="single" w:sz="4" w:color="D9D9D9"/>
            </w:tcBorders>
          </w:tcPr>
          <w:p>
            <w:pPr>
              <w:spacing w:after="0" w:line="264" w:lineRule="auto"/>
              <w:jc w:val="center"/>
            </w:pPr>
            <w:r>
              <w:rPr>
                <w:rFonts w:ascii="Arial" w:hAnsi="Arial" w:eastAsia="Microsoft YaHei"/>
                <w:b/>
                <w:color w:val="000000"/>
                <w:sz w:val="19"/>
              </w:rPr>
              <w:t>LR36 acc</w:t>
            </w:r>
          </w:p>
        </w:tc>
        <w:tc>
          <w:tcPr>
            <w:tcW w:type="dxa" w:w="1800"/>
            <w:vAlign w:val="center"/>
            <w:tcMar>
              <w:top w:w="65" w:type="dxa"/>
              <w:left w:w="65" w:type="dxa"/>
              <w:bottom w:w="65" w:type="dxa"/>
              <w:right w:w="65" w:type="dxa"/>
            </w:tcMar>
            <w:shd w:fill="DCE6EF"/>
            <w:tcBorders>
              <w:top w:val="single" w:sz="4" w:color="D9D9D9"/>
              <w:left w:val="single" w:sz="4" w:color="D9D9D9"/>
              <w:bottom w:val="single" w:sz="4" w:color="D9D9D9"/>
              <w:right w:val="single" w:sz="4" w:color="D9D9D9"/>
            </w:tcBorders>
          </w:tcPr>
          <w:p>
            <w:pPr>
              <w:spacing w:after="0" w:line="264" w:lineRule="auto"/>
              <w:jc w:val="center"/>
            </w:pPr>
            <w:r>
              <w:rPr>
                <w:rFonts w:ascii="Arial" w:hAnsi="Arial" w:eastAsia="Microsoft YaHei"/>
                <w:b/>
                <w:color w:val="000000"/>
                <w:sz w:val="19"/>
              </w:rPr>
              <w:t>Net correct</w:t>
            </w:r>
          </w:p>
        </w:tc>
        <w:tc>
          <w:tcPr>
            <w:tcW w:type="dxa" w:w="2016"/>
            <w:vAlign w:val="center"/>
            <w:tcMar>
              <w:top w:w="65" w:type="dxa"/>
              <w:left w:w="65" w:type="dxa"/>
              <w:bottom w:w="65" w:type="dxa"/>
              <w:right w:w="65" w:type="dxa"/>
            </w:tcMar>
            <w:shd w:fill="DCE6EF"/>
            <w:tcBorders>
              <w:top w:val="single" w:sz="4" w:color="D9D9D9"/>
              <w:left w:val="single" w:sz="4" w:color="D9D9D9"/>
              <w:bottom w:val="single" w:sz="4" w:color="D9D9D9"/>
              <w:right w:val="single" w:sz="4" w:color="D9D9D9"/>
            </w:tcBorders>
          </w:tcPr>
          <w:p>
            <w:pPr>
              <w:spacing w:after="0" w:line="264" w:lineRule="auto"/>
              <w:jc w:val="center"/>
            </w:pPr>
            <w:r>
              <w:rPr>
                <w:rFonts w:ascii="Arial" w:hAnsi="Arial" w:eastAsia="Microsoft YaHei"/>
                <w:b/>
                <w:color w:val="000000"/>
                <w:sz w:val="19"/>
              </w:rPr>
              <w:t>LL delta</w:t>
            </w:r>
          </w:p>
        </w:tc>
      </w:tr>
      <w:tr>
        <w:trPr>
          <w:cantSplit/>
        </w:trPr>
        <w:tc>
          <w:tcPr>
            <w:tcW w:type="dxa" w:w="2376"/>
            <w:vAlign w:val="center"/>
            <w:tcMar>
              <w:top w:w="65" w:type="dxa"/>
              <w:left w:w="65" w:type="dxa"/>
              <w:bottom w:w="65" w:type="dxa"/>
              <w:right w:w="65" w:type="dxa"/>
            </w:tcMar>
            <w:shd w:fill="FFFFFF"/>
            <w:tcBorders>
              <w:top w:val="single" w:sz="4" w:color="D9D9D9"/>
              <w:left w:val="single" w:sz="4" w:color="D9D9D9"/>
              <w:bottom w:val="single" w:sz="4" w:color="D9D9D9"/>
              <w:right w:val="single" w:sz="4" w:color="D9D9D9"/>
            </w:tcBorders>
          </w:tcPr>
          <w:p>
            <w:pPr>
              <w:spacing w:after="0" w:line="264" w:lineRule="auto"/>
              <w:jc w:val="left"/>
            </w:pPr>
            <w:r>
              <w:rPr>
                <w:rFonts w:ascii="Arial" w:hAnsi="Arial" w:eastAsia="Microsoft YaHei"/>
                <w:b w:val="0"/>
                <w:color w:val="000000"/>
                <w:sz w:val="19"/>
              </w:rPr>
              <w:t>E0</w:t>
            </w:r>
          </w:p>
        </w:tc>
        <w:tc>
          <w:tcPr>
            <w:tcW w:type="dxa" w:w="1800"/>
            <w:vAlign w:val="center"/>
            <w:tcMar>
              <w:top w:w="65" w:type="dxa"/>
              <w:left w:w="65" w:type="dxa"/>
              <w:bottom w:w="65" w:type="dxa"/>
              <w:right w:w="65" w:type="dxa"/>
            </w:tcMar>
            <w:shd w:fill="FFFFFF"/>
            <w:tcBorders>
              <w:top w:val="single" w:sz="4" w:color="D9D9D9"/>
              <w:left w:val="single" w:sz="4" w:color="D9D9D9"/>
              <w:bottom w:val="single" w:sz="4" w:color="D9D9D9"/>
              <w:right w:val="single" w:sz="4" w:color="D9D9D9"/>
            </w:tcBorders>
          </w:tcPr>
          <w:p>
            <w:pPr>
              <w:spacing w:after="0" w:line="264" w:lineRule="auto"/>
              <w:jc w:val="center"/>
            </w:pPr>
            <w:r>
              <w:rPr>
                <w:rFonts w:ascii="Arial" w:hAnsi="Arial" w:eastAsia="Microsoft YaHei"/>
                <w:b w:val="0"/>
                <w:color w:val="000000"/>
                <w:sz w:val="19"/>
              </w:rPr>
              <w:t>51.32%</w:t>
            </w:r>
          </w:p>
        </w:tc>
        <w:tc>
          <w:tcPr>
            <w:tcW w:type="dxa" w:w="1800"/>
            <w:vAlign w:val="center"/>
            <w:tcMar>
              <w:top w:w="65" w:type="dxa"/>
              <w:left w:w="65" w:type="dxa"/>
              <w:bottom w:w="65" w:type="dxa"/>
              <w:right w:w="65" w:type="dxa"/>
            </w:tcMar>
            <w:shd w:fill="FFFFFF"/>
            <w:tcBorders>
              <w:top w:val="single" w:sz="4" w:color="D9D9D9"/>
              <w:left w:val="single" w:sz="4" w:color="D9D9D9"/>
              <w:bottom w:val="single" w:sz="4" w:color="D9D9D9"/>
              <w:right w:val="single" w:sz="4" w:color="D9D9D9"/>
            </w:tcBorders>
          </w:tcPr>
          <w:p>
            <w:pPr>
              <w:spacing w:after="0" w:line="264" w:lineRule="auto"/>
              <w:jc w:val="center"/>
            </w:pPr>
            <w:r>
              <w:rPr>
                <w:rFonts w:ascii="Arial" w:hAnsi="Arial" w:eastAsia="Microsoft YaHei"/>
                <w:b w:val="0"/>
                <w:color w:val="000000"/>
                <w:sz w:val="19"/>
              </w:rPr>
              <w:t>51.67%</w:t>
            </w:r>
          </w:p>
        </w:tc>
        <w:tc>
          <w:tcPr>
            <w:tcW w:type="dxa" w:w="1800"/>
            <w:vAlign w:val="center"/>
            <w:tcMar>
              <w:top w:w="65" w:type="dxa"/>
              <w:left w:w="65" w:type="dxa"/>
              <w:bottom w:w="65" w:type="dxa"/>
              <w:right w:w="65" w:type="dxa"/>
            </w:tcMar>
            <w:shd w:fill="FFFFFF"/>
            <w:tcBorders>
              <w:top w:val="single" w:sz="4" w:color="D9D9D9"/>
              <w:left w:val="single" w:sz="4" w:color="D9D9D9"/>
              <w:bottom w:val="single" w:sz="4" w:color="D9D9D9"/>
              <w:right w:val="single" w:sz="4" w:color="D9D9D9"/>
            </w:tcBorders>
          </w:tcPr>
          <w:p>
            <w:pPr>
              <w:spacing w:after="0" w:line="264" w:lineRule="auto"/>
              <w:jc w:val="center"/>
            </w:pPr>
            <w:r>
              <w:rPr>
                <w:rFonts w:ascii="Arial" w:hAnsi="Arial" w:eastAsia="Microsoft YaHei"/>
                <w:b w:val="0"/>
                <w:color w:val="000000"/>
                <w:sz w:val="19"/>
              </w:rPr>
              <w:t>8</w:t>
            </w:r>
          </w:p>
        </w:tc>
        <w:tc>
          <w:tcPr>
            <w:tcW w:type="dxa" w:w="2016"/>
            <w:vAlign w:val="center"/>
            <w:tcMar>
              <w:top w:w="65" w:type="dxa"/>
              <w:left w:w="65" w:type="dxa"/>
              <w:bottom w:w="65" w:type="dxa"/>
              <w:right w:w="65" w:type="dxa"/>
            </w:tcMar>
            <w:shd w:fill="FFFFFF"/>
            <w:tcBorders>
              <w:top w:val="single" w:sz="4" w:color="D9D9D9"/>
              <w:left w:val="single" w:sz="4" w:color="D9D9D9"/>
              <w:bottom w:val="single" w:sz="4" w:color="D9D9D9"/>
              <w:right w:val="single" w:sz="4" w:color="D9D9D9"/>
            </w:tcBorders>
          </w:tcPr>
          <w:p>
            <w:pPr>
              <w:spacing w:after="0" w:line="264" w:lineRule="auto"/>
              <w:jc w:val="center"/>
            </w:pPr>
            <w:r>
              <w:rPr>
                <w:rFonts w:ascii="Arial" w:hAnsi="Arial" w:eastAsia="Microsoft YaHei"/>
                <w:b w:val="0"/>
                <w:color w:val="000000"/>
                <w:sz w:val="19"/>
              </w:rPr>
              <w:t>-0.003195</w:t>
            </w:r>
          </w:p>
        </w:tc>
      </w:tr>
      <w:tr>
        <w:trPr>
          <w:cantSplit/>
        </w:trPr>
        <w:tc>
          <w:tcPr>
            <w:tcW w:type="dxa" w:w="2376"/>
            <w:vAlign w:val="center"/>
            <w:tcMar>
              <w:top w:w="65" w:type="dxa"/>
              <w:left w:w="65" w:type="dxa"/>
              <w:bottom w:w="65" w:type="dxa"/>
              <w:right w:w="65" w:type="dxa"/>
            </w:tcMar>
            <w:shd w:fill="F4F6F8"/>
            <w:tcBorders>
              <w:top w:val="single" w:sz="4" w:color="D9D9D9"/>
              <w:left w:val="single" w:sz="4" w:color="D9D9D9"/>
              <w:bottom w:val="single" w:sz="4" w:color="D9D9D9"/>
              <w:right w:val="single" w:sz="4" w:color="D9D9D9"/>
            </w:tcBorders>
          </w:tcPr>
          <w:p>
            <w:pPr>
              <w:spacing w:after="0" w:line="264" w:lineRule="auto"/>
              <w:jc w:val="left"/>
            </w:pPr>
            <w:r>
              <w:rPr>
                <w:rFonts w:ascii="Arial" w:hAnsi="Arial" w:eastAsia="Microsoft YaHei"/>
                <w:b w:val="0"/>
                <w:color w:val="000000"/>
                <w:sz w:val="19"/>
              </w:rPr>
              <w:t>E1</w:t>
            </w:r>
          </w:p>
        </w:tc>
        <w:tc>
          <w:tcPr>
            <w:tcW w:type="dxa" w:w="1800"/>
            <w:vAlign w:val="center"/>
            <w:tcMar>
              <w:top w:w="65" w:type="dxa"/>
              <w:left w:w="65" w:type="dxa"/>
              <w:bottom w:w="65" w:type="dxa"/>
              <w:right w:w="65" w:type="dxa"/>
            </w:tcMar>
            <w:shd w:fill="F4F6F8"/>
            <w:tcBorders>
              <w:top w:val="single" w:sz="4" w:color="D9D9D9"/>
              <w:left w:val="single" w:sz="4" w:color="D9D9D9"/>
              <w:bottom w:val="single" w:sz="4" w:color="D9D9D9"/>
              <w:right w:val="single" w:sz="4" w:color="D9D9D9"/>
            </w:tcBorders>
          </w:tcPr>
          <w:p>
            <w:pPr>
              <w:spacing w:after="0" w:line="264" w:lineRule="auto"/>
              <w:jc w:val="center"/>
            </w:pPr>
            <w:r>
              <w:rPr>
                <w:rFonts w:ascii="Arial" w:hAnsi="Arial" w:eastAsia="Microsoft YaHei"/>
                <w:b w:val="0"/>
                <w:color w:val="000000"/>
                <w:sz w:val="19"/>
              </w:rPr>
              <w:t>42.63%</w:t>
            </w:r>
          </w:p>
        </w:tc>
        <w:tc>
          <w:tcPr>
            <w:tcW w:type="dxa" w:w="1800"/>
            <w:vAlign w:val="center"/>
            <w:tcMar>
              <w:top w:w="65" w:type="dxa"/>
              <w:left w:w="65" w:type="dxa"/>
              <w:bottom w:w="65" w:type="dxa"/>
              <w:right w:w="65" w:type="dxa"/>
            </w:tcMar>
            <w:shd w:fill="F4F6F8"/>
            <w:tcBorders>
              <w:top w:val="single" w:sz="4" w:color="D9D9D9"/>
              <w:left w:val="single" w:sz="4" w:color="D9D9D9"/>
              <w:bottom w:val="single" w:sz="4" w:color="D9D9D9"/>
              <w:right w:val="single" w:sz="4" w:color="D9D9D9"/>
            </w:tcBorders>
          </w:tcPr>
          <w:p>
            <w:pPr>
              <w:spacing w:after="0" w:line="264" w:lineRule="auto"/>
              <w:jc w:val="center"/>
            </w:pPr>
            <w:r>
              <w:rPr>
                <w:rFonts w:ascii="Arial" w:hAnsi="Arial" w:eastAsia="Microsoft YaHei"/>
                <w:b w:val="0"/>
                <w:color w:val="000000"/>
                <w:sz w:val="19"/>
              </w:rPr>
              <w:t>43.30%</w:t>
            </w:r>
          </w:p>
        </w:tc>
        <w:tc>
          <w:tcPr>
            <w:tcW w:type="dxa" w:w="1800"/>
            <w:vAlign w:val="center"/>
            <w:tcMar>
              <w:top w:w="65" w:type="dxa"/>
              <w:left w:w="65" w:type="dxa"/>
              <w:bottom w:w="65" w:type="dxa"/>
              <w:right w:w="65" w:type="dxa"/>
            </w:tcMar>
            <w:shd w:fill="F4F6F8"/>
            <w:tcBorders>
              <w:top w:val="single" w:sz="4" w:color="D9D9D9"/>
              <w:left w:val="single" w:sz="4" w:color="D9D9D9"/>
              <w:bottom w:val="single" w:sz="4" w:color="D9D9D9"/>
              <w:right w:val="single" w:sz="4" w:color="D9D9D9"/>
            </w:tcBorders>
          </w:tcPr>
          <w:p>
            <w:pPr>
              <w:spacing w:after="0" w:line="264" w:lineRule="auto"/>
              <w:jc w:val="center"/>
            </w:pPr>
            <w:r>
              <w:rPr>
                <w:rFonts w:ascii="Arial" w:hAnsi="Arial" w:eastAsia="Microsoft YaHei"/>
                <w:b w:val="0"/>
                <w:color w:val="000000"/>
                <w:sz w:val="19"/>
              </w:rPr>
              <w:t>22</w:t>
            </w:r>
          </w:p>
        </w:tc>
        <w:tc>
          <w:tcPr>
            <w:tcW w:type="dxa" w:w="2016"/>
            <w:vAlign w:val="center"/>
            <w:tcMar>
              <w:top w:w="65" w:type="dxa"/>
              <w:left w:w="65" w:type="dxa"/>
              <w:bottom w:w="65" w:type="dxa"/>
              <w:right w:w="65" w:type="dxa"/>
            </w:tcMar>
            <w:shd w:fill="F4F6F8"/>
            <w:tcBorders>
              <w:top w:val="single" w:sz="4" w:color="D9D9D9"/>
              <w:left w:val="single" w:sz="4" w:color="D9D9D9"/>
              <w:bottom w:val="single" w:sz="4" w:color="D9D9D9"/>
              <w:right w:val="single" w:sz="4" w:color="D9D9D9"/>
            </w:tcBorders>
          </w:tcPr>
          <w:p>
            <w:pPr>
              <w:spacing w:after="0" w:line="264" w:lineRule="auto"/>
              <w:jc w:val="center"/>
            </w:pPr>
            <w:r>
              <w:rPr>
                <w:rFonts w:ascii="Arial" w:hAnsi="Arial" w:eastAsia="Microsoft YaHei"/>
                <w:b w:val="0"/>
                <w:color w:val="000000"/>
                <w:sz w:val="19"/>
              </w:rPr>
              <w:t>-0.003165</w:t>
            </w:r>
          </w:p>
        </w:tc>
      </w:tr>
      <w:tr>
        <w:trPr>
          <w:cantSplit/>
        </w:trPr>
        <w:tc>
          <w:tcPr>
            <w:tcW w:type="dxa" w:w="2376"/>
            <w:vAlign w:val="center"/>
            <w:tcMar>
              <w:top w:w="65" w:type="dxa"/>
              <w:left w:w="65" w:type="dxa"/>
              <w:bottom w:w="65" w:type="dxa"/>
              <w:right w:w="65" w:type="dxa"/>
            </w:tcMar>
            <w:shd w:fill="FFFFFF"/>
            <w:tcBorders>
              <w:top w:val="single" w:sz="4" w:color="D9D9D9"/>
              <w:left w:val="single" w:sz="4" w:color="D9D9D9"/>
              <w:bottom w:val="single" w:sz="4" w:color="D9D9D9"/>
              <w:right w:val="single" w:sz="4" w:color="D9D9D9"/>
            </w:tcBorders>
          </w:tcPr>
          <w:p>
            <w:pPr>
              <w:spacing w:after="0" w:line="264" w:lineRule="auto"/>
              <w:jc w:val="left"/>
            </w:pPr>
            <w:r>
              <w:rPr>
                <w:rFonts w:ascii="Arial" w:hAnsi="Arial" w:eastAsia="Microsoft YaHei"/>
                <w:b w:val="0"/>
                <w:color w:val="000000"/>
                <w:sz w:val="19"/>
              </w:rPr>
              <w:t>E2</w:t>
            </w:r>
          </w:p>
        </w:tc>
        <w:tc>
          <w:tcPr>
            <w:tcW w:type="dxa" w:w="1800"/>
            <w:vAlign w:val="center"/>
            <w:tcMar>
              <w:top w:w="65" w:type="dxa"/>
              <w:left w:w="65" w:type="dxa"/>
              <w:bottom w:w="65" w:type="dxa"/>
              <w:right w:w="65" w:type="dxa"/>
            </w:tcMar>
            <w:shd w:fill="FFFFFF"/>
            <w:tcBorders>
              <w:top w:val="single" w:sz="4" w:color="D9D9D9"/>
              <w:left w:val="single" w:sz="4" w:color="D9D9D9"/>
              <w:bottom w:val="single" w:sz="4" w:color="D9D9D9"/>
              <w:right w:val="single" w:sz="4" w:color="D9D9D9"/>
            </w:tcBorders>
          </w:tcPr>
          <w:p>
            <w:pPr>
              <w:spacing w:after="0" w:line="264" w:lineRule="auto"/>
              <w:jc w:val="center"/>
            </w:pPr>
            <w:r>
              <w:rPr>
                <w:rFonts w:ascii="Arial" w:hAnsi="Arial" w:eastAsia="Microsoft YaHei"/>
                <w:b w:val="0"/>
                <w:color w:val="000000"/>
                <w:sz w:val="19"/>
              </w:rPr>
              <w:t>46.65%</w:t>
            </w:r>
          </w:p>
        </w:tc>
        <w:tc>
          <w:tcPr>
            <w:tcW w:type="dxa" w:w="1800"/>
            <w:vAlign w:val="center"/>
            <w:tcMar>
              <w:top w:w="65" w:type="dxa"/>
              <w:left w:w="65" w:type="dxa"/>
              <w:bottom w:w="65" w:type="dxa"/>
              <w:right w:w="65" w:type="dxa"/>
            </w:tcMar>
            <w:shd w:fill="FFFFFF"/>
            <w:tcBorders>
              <w:top w:val="single" w:sz="4" w:color="D9D9D9"/>
              <w:left w:val="single" w:sz="4" w:color="D9D9D9"/>
              <w:bottom w:val="single" w:sz="4" w:color="D9D9D9"/>
              <w:right w:val="single" w:sz="4" w:color="D9D9D9"/>
            </w:tcBorders>
          </w:tcPr>
          <w:p>
            <w:pPr>
              <w:spacing w:after="0" w:line="264" w:lineRule="auto"/>
              <w:jc w:val="center"/>
            </w:pPr>
            <w:r>
              <w:rPr>
                <w:rFonts w:ascii="Arial" w:hAnsi="Arial" w:eastAsia="Microsoft YaHei"/>
                <w:b w:val="0"/>
                <w:color w:val="000000"/>
                <w:sz w:val="19"/>
              </w:rPr>
              <w:t>47.34%</w:t>
            </w:r>
          </w:p>
        </w:tc>
        <w:tc>
          <w:tcPr>
            <w:tcW w:type="dxa" w:w="1800"/>
            <w:vAlign w:val="center"/>
            <w:tcMar>
              <w:top w:w="65" w:type="dxa"/>
              <w:left w:w="65" w:type="dxa"/>
              <w:bottom w:w="65" w:type="dxa"/>
              <w:right w:w="65" w:type="dxa"/>
            </w:tcMar>
            <w:shd w:fill="FFFFFF"/>
            <w:tcBorders>
              <w:top w:val="single" w:sz="4" w:color="D9D9D9"/>
              <w:left w:val="single" w:sz="4" w:color="D9D9D9"/>
              <w:bottom w:val="single" w:sz="4" w:color="D9D9D9"/>
              <w:right w:val="single" w:sz="4" w:color="D9D9D9"/>
            </w:tcBorders>
          </w:tcPr>
          <w:p>
            <w:pPr>
              <w:spacing w:after="0" w:line="264" w:lineRule="auto"/>
              <w:jc w:val="center"/>
            </w:pPr>
            <w:r>
              <w:rPr>
                <w:rFonts w:ascii="Arial" w:hAnsi="Arial" w:eastAsia="Microsoft YaHei"/>
                <w:b w:val="0"/>
                <w:color w:val="000000"/>
                <w:sz w:val="19"/>
              </w:rPr>
              <w:t>23</w:t>
            </w:r>
          </w:p>
        </w:tc>
        <w:tc>
          <w:tcPr>
            <w:tcW w:type="dxa" w:w="2016"/>
            <w:vAlign w:val="center"/>
            <w:tcMar>
              <w:top w:w="65" w:type="dxa"/>
              <w:left w:w="65" w:type="dxa"/>
              <w:bottom w:w="65" w:type="dxa"/>
              <w:right w:w="65" w:type="dxa"/>
            </w:tcMar>
            <w:shd w:fill="FFFFFF"/>
            <w:tcBorders>
              <w:top w:val="single" w:sz="4" w:color="D9D9D9"/>
              <w:left w:val="single" w:sz="4" w:color="D9D9D9"/>
              <w:bottom w:val="single" w:sz="4" w:color="D9D9D9"/>
              <w:right w:val="single" w:sz="4" w:color="D9D9D9"/>
            </w:tcBorders>
          </w:tcPr>
          <w:p>
            <w:pPr>
              <w:spacing w:after="0" w:line="264" w:lineRule="auto"/>
              <w:jc w:val="center"/>
            </w:pPr>
            <w:r>
              <w:rPr>
                <w:rFonts w:ascii="Arial" w:hAnsi="Arial" w:eastAsia="Microsoft YaHei"/>
                <w:b w:val="0"/>
                <w:color w:val="000000"/>
                <w:sz w:val="19"/>
              </w:rPr>
              <w:t>-0.001837</w:t>
            </w:r>
          </w:p>
        </w:tc>
      </w:tr>
      <w:tr>
        <w:trPr>
          <w:cantSplit/>
        </w:trPr>
        <w:tc>
          <w:tcPr>
            <w:tcW w:type="dxa" w:w="2376"/>
            <w:vAlign w:val="center"/>
            <w:tcMar>
              <w:top w:w="65" w:type="dxa"/>
              <w:left w:w="65" w:type="dxa"/>
              <w:bottom w:w="65" w:type="dxa"/>
              <w:right w:w="65" w:type="dxa"/>
            </w:tcMar>
            <w:shd w:fill="F4F6F8"/>
            <w:tcBorders>
              <w:top w:val="single" w:sz="4" w:color="D9D9D9"/>
              <w:left w:val="single" w:sz="4" w:color="D9D9D9"/>
              <w:bottom w:val="single" w:sz="4" w:color="D9D9D9"/>
              <w:right w:val="single" w:sz="4" w:color="D9D9D9"/>
            </w:tcBorders>
          </w:tcPr>
          <w:p>
            <w:pPr>
              <w:spacing w:after="0" w:line="264" w:lineRule="auto"/>
              <w:jc w:val="left"/>
            </w:pPr>
            <w:r>
              <w:rPr>
                <w:rFonts w:ascii="Arial" w:hAnsi="Arial" w:eastAsia="Microsoft YaHei"/>
                <w:b w:val="0"/>
                <w:color w:val="000000"/>
                <w:sz w:val="19"/>
              </w:rPr>
              <w:t>E3</w:t>
            </w:r>
          </w:p>
        </w:tc>
        <w:tc>
          <w:tcPr>
            <w:tcW w:type="dxa" w:w="1800"/>
            <w:vAlign w:val="center"/>
            <w:tcMar>
              <w:top w:w="65" w:type="dxa"/>
              <w:left w:w="65" w:type="dxa"/>
              <w:bottom w:w="65" w:type="dxa"/>
              <w:right w:w="65" w:type="dxa"/>
            </w:tcMar>
            <w:shd w:fill="F4F6F8"/>
            <w:tcBorders>
              <w:top w:val="single" w:sz="4" w:color="D9D9D9"/>
              <w:left w:val="single" w:sz="4" w:color="D9D9D9"/>
              <w:bottom w:val="single" w:sz="4" w:color="D9D9D9"/>
              <w:right w:val="single" w:sz="4" w:color="D9D9D9"/>
            </w:tcBorders>
          </w:tcPr>
          <w:p>
            <w:pPr>
              <w:spacing w:after="0" w:line="264" w:lineRule="auto"/>
              <w:jc w:val="center"/>
            </w:pPr>
            <w:r>
              <w:rPr>
                <w:rFonts w:ascii="Arial" w:hAnsi="Arial" w:eastAsia="Microsoft YaHei"/>
                <w:b w:val="0"/>
                <w:color w:val="000000"/>
                <w:sz w:val="19"/>
              </w:rPr>
              <w:t>43.69%</w:t>
            </w:r>
          </w:p>
        </w:tc>
        <w:tc>
          <w:tcPr>
            <w:tcW w:type="dxa" w:w="1800"/>
            <w:vAlign w:val="center"/>
            <w:tcMar>
              <w:top w:w="65" w:type="dxa"/>
              <w:left w:w="65" w:type="dxa"/>
              <w:bottom w:w="65" w:type="dxa"/>
              <w:right w:w="65" w:type="dxa"/>
            </w:tcMar>
            <w:shd w:fill="F4F6F8"/>
            <w:tcBorders>
              <w:top w:val="single" w:sz="4" w:color="D9D9D9"/>
              <w:left w:val="single" w:sz="4" w:color="D9D9D9"/>
              <w:bottom w:val="single" w:sz="4" w:color="D9D9D9"/>
              <w:right w:val="single" w:sz="4" w:color="D9D9D9"/>
            </w:tcBorders>
          </w:tcPr>
          <w:p>
            <w:pPr>
              <w:spacing w:after="0" w:line="264" w:lineRule="auto"/>
              <w:jc w:val="center"/>
            </w:pPr>
            <w:r>
              <w:rPr>
                <w:rFonts w:ascii="Arial" w:hAnsi="Arial" w:eastAsia="Microsoft YaHei"/>
                <w:b w:val="0"/>
                <w:color w:val="000000"/>
                <w:sz w:val="19"/>
              </w:rPr>
              <w:t>43.72%</w:t>
            </w:r>
          </w:p>
        </w:tc>
        <w:tc>
          <w:tcPr>
            <w:tcW w:type="dxa" w:w="1800"/>
            <w:vAlign w:val="center"/>
            <w:tcMar>
              <w:top w:w="65" w:type="dxa"/>
              <w:left w:w="65" w:type="dxa"/>
              <w:bottom w:w="65" w:type="dxa"/>
              <w:right w:w="65" w:type="dxa"/>
            </w:tcMar>
            <w:shd w:fill="F4F6F8"/>
            <w:tcBorders>
              <w:top w:val="single" w:sz="4" w:color="D9D9D9"/>
              <w:left w:val="single" w:sz="4" w:color="D9D9D9"/>
              <w:bottom w:val="single" w:sz="4" w:color="D9D9D9"/>
              <w:right w:val="single" w:sz="4" w:color="D9D9D9"/>
            </w:tcBorders>
          </w:tcPr>
          <w:p>
            <w:pPr>
              <w:spacing w:after="0" w:line="264" w:lineRule="auto"/>
              <w:jc w:val="center"/>
            </w:pPr>
            <w:r>
              <w:rPr>
                <w:rFonts w:ascii="Arial" w:hAnsi="Arial" w:eastAsia="Microsoft YaHei"/>
                <w:b w:val="0"/>
                <w:color w:val="000000"/>
                <w:sz w:val="19"/>
              </w:rPr>
              <w:t>1</w:t>
            </w:r>
          </w:p>
        </w:tc>
        <w:tc>
          <w:tcPr>
            <w:tcW w:type="dxa" w:w="2016"/>
            <w:vAlign w:val="center"/>
            <w:tcMar>
              <w:top w:w="65" w:type="dxa"/>
              <w:left w:w="65" w:type="dxa"/>
              <w:bottom w:w="65" w:type="dxa"/>
              <w:right w:w="65" w:type="dxa"/>
            </w:tcMar>
            <w:shd w:fill="F4F6F8"/>
            <w:tcBorders>
              <w:top w:val="single" w:sz="4" w:color="D9D9D9"/>
              <w:left w:val="single" w:sz="4" w:color="D9D9D9"/>
              <w:bottom w:val="single" w:sz="4" w:color="D9D9D9"/>
              <w:right w:val="single" w:sz="4" w:color="D9D9D9"/>
            </w:tcBorders>
          </w:tcPr>
          <w:p>
            <w:pPr>
              <w:spacing w:after="0" w:line="264" w:lineRule="auto"/>
              <w:jc w:val="center"/>
            </w:pPr>
            <w:r>
              <w:rPr>
                <w:rFonts w:ascii="Arial" w:hAnsi="Arial" w:eastAsia="Microsoft YaHei"/>
                <w:b w:val="0"/>
                <w:color w:val="000000"/>
                <w:sz w:val="19"/>
              </w:rPr>
              <w:t>-0.003724</w:t>
            </w:r>
          </w:p>
        </w:tc>
      </w:tr>
    </w:tbl>
    <w:p>
      <w:pPr>
        <w:spacing w:after="20" w:line="96" w:lineRule="auto"/>
      </w:pPr>
    </w:p>
    <w:p>
      <w:pPr>
        <w:widowControl/>
      </w:pPr>
      <w:r>
        <w:rPr>
          <w:rFonts w:ascii="Arial" w:hAnsi="Arial" w:eastAsia="Microsoft YaHei"/>
          <w:b w:val="0"/>
          <w:color w:val="000000"/>
          <w:sz w:val="22"/>
        </w:rPr>
        <w:t>Accuracy increased slightly in all four division aggregates. LL decreased in all four divisions and in 18 of 24 season-by-division cells. These subgroup results are descriptive and were not adjusted for multiple comparisons.</w:t>
      </w:r>
    </w:p>
    <w:tbl>
      <w:tblPr>
        <w:tblW w:type="auto" w:w="0"/>
        <w:jc w:val="center"/>
        <w:tblLayout w:type="fixed"/>
        <w:tblLook w:firstColumn="1" w:firstRow="1" w:lastColumn="0" w:lastRow="0" w:noHBand="0" w:noVBand="1" w:val="04A0"/>
      </w:tblPr>
      <w:tblGrid>
        <w:gridCol w:w="3096"/>
        <w:gridCol w:w="2232"/>
        <w:gridCol w:w="2232"/>
        <w:gridCol w:w="2232"/>
      </w:tblGrid>
      <w:tr>
        <w:trPr>
          <w:cantSplit/>
          <w:tblHeader/>
        </w:trPr>
        <w:tc>
          <w:tcPr>
            <w:tcW w:type="dxa" w:w="3096"/>
            <w:vAlign w:val="center"/>
            <w:tcMar>
              <w:top w:w="65" w:type="dxa"/>
              <w:left w:w="65" w:type="dxa"/>
              <w:bottom w:w="65" w:type="dxa"/>
              <w:right w:w="65" w:type="dxa"/>
            </w:tcMar>
            <w:shd w:fill="DCE6EF"/>
            <w:tcBorders>
              <w:top w:val="single" w:sz="4" w:color="D9D9D9"/>
              <w:left w:val="single" w:sz="4" w:color="D9D9D9"/>
              <w:bottom w:val="single" w:sz="4" w:color="D9D9D9"/>
              <w:right w:val="single" w:sz="4" w:color="D9D9D9"/>
            </w:tcBorders>
          </w:tcPr>
          <w:p>
            <w:pPr>
              <w:spacing w:after="0" w:line="264" w:lineRule="auto"/>
              <w:jc w:val="left"/>
            </w:pPr>
            <w:r>
              <w:rPr>
                <w:rFonts w:ascii="Arial" w:hAnsi="Arial" w:eastAsia="Microsoft YaHei"/>
                <w:b/>
                <w:color w:val="000000"/>
                <w:sz w:val="19"/>
              </w:rPr>
              <w:t>Model</w:t>
            </w:r>
          </w:p>
        </w:tc>
        <w:tc>
          <w:tcPr>
            <w:tcW w:type="dxa" w:w="2232"/>
            <w:vAlign w:val="center"/>
            <w:tcMar>
              <w:top w:w="65" w:type="dxa"/>
              <w:left w:w="65" w:type="dxa"/>
              <w:bottom w:w="65" w:type="dxa"/>
              <w:right w:w="65" w:type="dxa"/>
            </w:tcMar>
            <w:shd w:fill="DCE6EF"/>
            <w:tcBorders>
              <w:top w:val="single" w:sz="4" w:color="D9D9D9"/>
              <w:left w:val="single" w:sz="4" w:color="D9D9D9"/>
              <w:bottom w:val="single" w:sz="4" w:color="D9D9D9"/>
              <w:right w:val="single" w:sz="4" w:color="D9D9D9"/>
            </w:tcBorders>
          </w:tcPr>
          <w:p>
            <w:pPr>
              <w:spacing w:after="0" w:line="264" w:lineRule="auto"/>
              <w:jc w:val="center"/>
            </w:pPr>
            <w:r>
              <w:rPr>
                <w:rFonts w:ascii="Arial" w:hAnsi="Arial" w:eastAsia="Microsoft YaHei"/>
                <w:b/>
                <w:color w:val="000000"/>
                <w:sz w:val="19"/>
              </w:rPr>
              <w:t>Inputs</w:t>
            </w:r>
          </w:p>
        </w:tc>
        <w:tc>
          <w:tcPr>
            <w:tcW w:type="dxa" w:w="2232"/>
            <w:vAlign w:val="center"/>
            <w:tcMar>
              <w:top w:w="65" w:type="dxa"/>
              <w:left w:w="65" w:type="dxa"/>
              <w:bottom w:w="65" w:type="dxa"/>
              <w:right w:w="65" w:type="dxa"/>
            </w:tcMar>
            <w:shd w:fill="DCE6EF"/>
            <w:tcBorders>
              <w:top w:val="single" w:sz="4" w:color="D9D9D9"/>
              <w:left w:val="single" w:sz="4" w:color="D9D9D9"/>
              <w:bottom w:val="single" w:sz="4" w:color="D9D9D9"/>
              <w:right w:val="single" w:sz="4" w:color="D9D9D9"/>
            </w:tcBorders>
          </w:tcPr>
          <w:p>
            <w:pPr>
              <w:spacing w:after="0" w:line="264" w:lineRule="auto"/>
              <w:jc w:val="center"/>
            </w:pPr>
            <w:r>
              <w:rPr>
                <w:rFonts w:ascii="Arial" w:hAnsi="Arial" w:eastAsia="Microsoft YaHei"/>
                <w:b/>
                <w:color w:val="000000"/>
                <w:sz w:val="19"/>
              </w:rPr>
              <w:t>Parameters</w:t>
            </w:r>
          </w:p>
        </w:tc>
        <w:tc>
          <w:tcPr>
            <w:tcW w:type="dxa" w:w="2232"/>
            <w:vAlign w:val="center"/>
            <w:tcMar>
              <w:top w:w="65" w:type="dxa"/>
              <w:left w:w="65" w:type="dxa"/>
              <w:bottom w:w="65" w:type="dxa"/>
              <w:right w:w="65" w:type="dxa"/>
            </w:tcMar>
            <w:shd w:fill="DCE6EF"/>
            <w:tcBorders>
              <w:top w:val="single" w:sz="4" w:color="D9D9D9"/>
              <w:left w:val="single" w:sz="4" w:color="D9D9D9"/>
              <w:bottom w:val="single" w:sz="4" w:color="D9D9D9"/>
              <w:right w:val="single" w:sz="4" w:color="D9D9D9"/>
            </w:tcBorders>
          </w:tcPr>
          <w:p>
            <w:pPr>
              <w:spacing w:after="0" w:line="264" w:lineRule="auto"/>
              <w:jc w:val="center"/>
            </w:pPr>
            <w:r>
              <w:rPr>
                <w:rFonts w:ascii="Arial" w:hAnsi="Arial" w:eastAsia="Microsoft YaHei"/>
                <w:b/>
                <w:color w:val="000000"/>
                <w:sz w:val="19"/>
              </w:rPr>
              <w:t>Mean stored bytes</w:t>
            </w:r>
          </w:p>
        </w:tc>
      </w:tr>
      <w:tr>
        <w:trPr>
          <w:cantSplit/>
        </w:trPr>
        <w:tc>
          <w:tcPr>
            <w:tcW w:type="dxa" w:w="3096"/>
            <w:vAlign w:val="center"/>
            <w:tcMar>
              <w:top w:w="65" w:type="dxa"/>
              <w:left w:w="65" w:type="dxa"/>
              <w:bottom w:w="65" w:type="dxa"/>
              <w:right w:w="65" w:type="dxa"/>
            </w:tcMar>
            <w:shd w:fill="FFFFFF"/>
            <w:tcBorders>
              <w:top w:val="single" w:sz="4" w:color="D9D9D9"/>
              <w:left w:val="single" w:sz="4" w:color="D9D9D9"/>
              <w:bottom w:val="single" w:sz="4" w:color="D9D9D9"/>
              <w:right w:val="single" w:sz="4" w:color="D9D9D9"/>
            </w:tcBorders>
          </w:tcPr>
          <w:p>
            <w:pPr>
              <w:spacing w:after="0" w:line="264" w:lineRule="auto"/>
              <w:jc w:val="left"/>
            </w:pPr>
            <w:r>
              <w:rPr>
                <w:rFonts w:ascii="Arial" w:hAnsi="Arial" w:eastAsia="Microsoft YaHei"/>
                <w:b w:val="0"/>
                <w:color w:val="000000"/>
                <w:sz w:val="19"/>
              </w:rPr>
              <w:t>LR66</w:t>
            </w:r>
          </w:p>
        </w:tc>
        <w:tc>
          <w:tcPr>
            <w:tcW w:type="dxa" w:w="2232"/>
            <w:vAlign w:val="center"/>
            <w:tcMar>
              <w:top w:w="65" w:type="dxa"/>
              <w:left w:w="65" w:type="dxa"/>
              <w:bottom w:w="65" w:type="dxa"/>
              <w:right w:w="65" w:type="dxa"/>
            </w:tcMar>
            <w:shd w:fill="FFFFFF"/>
            <w:tcBorders>
              <w:top w:val="single" w:sz="4" w:color="D9D9D9"/>
              <w:left w:val="single" w:sz="4" w:color="D9D9D9"/>
              <w:bottom w:val="single" w:sz="4" w:color="D9D9D9"/>
              <w:right w:val="single" w:sz="4" w:color="D9D9D9"/>
            </w:tcBorders>
          </w:tcPr>
          <w:p>
            <w:pPr>
              <w:spacing w:after="0" w:line="264" w:lineRule="auto"/>
              <w:jc w:val="center"/>
            </w:pPr>
            <w:r>
              <w:rPr>
                <w:rFonts w:ascii="Arial" w:hAnsi="Arial" w:eastAsia="Microsoft YaHei"/>
                <w:b w:val="0"/>
                <w:color w:val="000000"/>
                <w:sz w:val="19"/>
              </w:rPr>
              <w:t>66</w:t>
            </w:r>
          </w:p>
        </w:tc>
        <w:tc>
          <w:tcPr>
            <w:tcW w:type="dxa" w:w="2232"/>
            <w:vAlign w:val="center"/>
            <w:tcMar>
              <w:top w:w="65" w:type="dxa"/>
              <w:left w:w="65" w:type="dxa"/>
              <w:bottom w:w="65" w:type="dxa"/>
              <w:right w:w="65" w:type="dxa"/>
            </w:tcMar>
            <w:shd w:fill="FFFFFF"/>
            <w:tcBorders>
              <w:top w:val="single" w:sz="4" w:color="D9D9D9"/>
              <w:left w:val="single" w:sz="4" w:color="D9D9D9"/>
              <w:bottom w:val="single" w:sz="4" w:color="D9D9D9"/>
              <w:right w:val="single" w:sz="4" w:color="D9D9D9"/>
            </w:tcBorders>
          </w:tcPr>
          <w:p>
            <w:pPr>
              <w:spacing w:after="0" w:line="264" w:lineRule="auto"/>
              <w:jc w:val="center"/>
            </w:pPr>
            <w:r>
              <w:rPr>
                <w:rFonts w:ascii="Arial" w:hAnsi="Arial" w:eastAsia="Microsoft YaHei"/>
                <w:b w:val="0"/>
                <w:color w:val="000000"/>
                <w:sz w:val="19"/>
              </w:rPr>
              <w:t>201</w:t>
            </w:r>
          </w:p>
        </w:tc>
        <w:tc>
          <w:tcPr>
            <w:tcW w:type="dxa" w:w="2232"/>
            <w:vAlign w:val="center"/>
            <w:tcMar>
              <w:top w:w="65" w:type="dxa"/>
              <w:left w:w="65" w:type="dxa"/>
              <w:bottom w:w="65" w:type="dxa"/>
              <w:right w:w="65" w:type="dxa"/>
            </w:tcMar>
            <w:shd w:fill="FFFFFF"/>
            <w:tcBorders>
              <w:top w:val="single" w:sz="4" w:color="D9D9D9"/>
              <w:left w:val="single" w:sz="4" w:color="D9D9D9"/>
              <w:bottom w:val="single" w:sz="4" w:color="D9D9D9"/>
              <w:right w:val="single" w:sz="4" w:color="D9D9D9"/>
            </w:tcBorders>
          </w:tcPr>
          <w:p>
            <w:pPr>
              <w:spacing w:after="0" w:line="264" w:lineRule="auto"/>
              <w:jc w:val="center"/>
            </w:pPr>
            <w:r>
              <w:rPr>
                <w:rFonts w:ascii="Arial" w:hAnsi="Arial" w:eastAsia="Microsoft YaHei"/>
                <w:b w:val="0"/>
                <w:color w:val="000000"/>
                <w:sz w:val="19"/>
              </w:rPr>
              <w:t>3,422</w:t>
            </w:r>
          </w:p>
        </w:tc>
      </w:tr>
      <w:tr>
        <w:trPr>
          <w:cantSplit/>
        </w:trPr>
        <w:tc>
          <w:tcPr>
            <w:tcW w:type="dxa" w:w="3096"/>
            <w:vAlign w:val="center"/>
            <w:tcMar>
              <w:top w:w="65" w:type="dxa"/>
              <w:left w:w="65" w:type="dxa"/>
              <w:bottom w:w="65" w:type="dxa"/>
              <w:right w:w="65" w:type="dxa"/>
            </w:tcMar>
            <w:shd w:fill="F4F6F8"/>
            <w:tcBorders>
              <w:top w:val="single" w:sz="4" w:color="D9D9D9"/>
              <w:left w:val="single" w:sz="4" w:color="D9D9D9"/>
              <w:bottom w:val="single" w:sz="4" w:color="D9D9D9"/>
              <w:right w:val="single" w:sz="4" w:color="D9D9D9"/>
            </w:tcBorders>
          </w:tcPr>
          <w:p>
            <w:pPr>
              <w:spacing w:after="0" w:line="264" w:lineRule="auto"/>
              <w:jc w:val="left"/>
            </w:pPr>
            <w:r>
              <w:rPr>
                <w:rFonts w:ascii="Arial" w:hAnsi="Arial" w:eastAsia="Microsoft YaHei"/>
                <w:b w:val="0"/>
                <w:color w:val="000000"/>
                <w:sz w:val="19"/>
              </w:rPr>
              <w:t>LR36</w:t>
            </w:r>
          </w:p>
        </w:tc>
        <w:tc>
          <w:tcPr>
            <w:tcW w:type="dxa" w:w="2232"/>
            <w:vAlign w:val="center"/>
            <w:tcMar>
              <w:top w:w="65" w:type="dxa"/>
              <w:left w:w="65" w:type="dxa"/>
              <w:bottom w:w="65" w:type="dxa"/>
              <w:right w:w="65" w:type="dxa"/>
            </w:tcMar>
            <w:shd w:fill="F4F6F8"/>
            <w:tcBorders>
              <w:top w:val="single" w:sz="4" w:color="D9D9D9"/>
              <w:left w:val="single" w:sz="4" w:color="D9D9D9"/>
              <w:bottom w:val="single" w:sz="4" w:color="D9D9D9"/>
              <w:right w:val="single" w:sz="4" w:color="D9D9D9"/>
            </w:tcBorders>
          </w:tcPr>
          <w:p>
            <w:pPr>
              <w:spacing w:after="0" w:line="264" w:lineRule="auto"/>
              <w:jc w:val="center"/>
            </w:pPr>
            <w:r>
              <w:rPr>
                <w:rFonts w:ascii="Arial" w:hAnsi="Arial" w:eastAsia="Microsoft YaHei"/>
                <w:b w:val="0"/>
                <w:color w:val="000000"/>
                <w:sz w:val="19"/>
              </w:rPr>
              <w:t>36</w:t>
            </w:r>
          </w:p>
        </w:tc>
        <w:tc>
          <w:tcPr>
            <w:tcW w:type="dxa" w:w="2232"/>
            <w:vAlign w:val="center"/>
            <w:tcMar>
              <w:top w:w="65" w:type="dxa"/>
              <w:left w:w="65" w:type="dxa"/>
              <w:bottom w:w="65" w:type="dxa"/>
              <w:right w:w="65" w:type="dxa"/>
            </w:tcMar>
            <w:shd w:fill="F4F6F8"/>
            <w:tcBorders>
              <w:top w:val="single" w:sz="4" w:color="D9D9D9"/>
              <w:left w:val="single" w:sz="4" w:color="D9D9D9"/>
              <w:bottom w:val="single" w:sz="4" w:color="D9D9D9"/>
              <w:right w:val="single" w:sz="4" w:color="D9D9D9"/>
            </w:tcBorders>
          </w:tcPr>
          <w:p>
            <w:pPr>
              <w:spacing w:after="0" w:line="264" w:lineRule="auto"/>
              <w:jc w:val="center"/>
            </w:pPr>
            <w:r>
              <w:rPr>
                <w:rFonts w:ascii="Arial" w:hAnsi="Arial" w:eastAsia="Microsoft YaHei"/>
                <w:b w:val="0"/>
                <w:color w:val="000000"/>
                <w:sz w:val="19"/>
              </w:rPr>
              <w:t>111</w:t>
            </w:r>
          </w:p>
        </w:tc>
        <w:tc>
          <w:tcPr>
            <w:tcW w:type="dxa" w:w="2232"/>
            <w:vAlign w:val="center"/>
            <w:tcMar>
              <w:top w:w="65" w:type="dxa"/>
              <w:left w:w="65" w:type="dxa"/>
              <w:bottom w:w="65" w:type="dxa"/>
              <w:right w:w="65" w:type="dxa"/>
            </w:tcMar>
            <w:shd w:fill="F4F6F8"/>
            <w:tcBorders>
              <w:top w:val="single" w:sz="4" w:color="D9D9D9"/>
              <w:left w:val="single" w:sz="4" w:color="D9D9D9"/>
              <w:bottom w:val="single" w:sz="4" w:color="D9D9D9"/>
              <w:right w:val="single" w:sz="4" w:color="D9D9D9"/>
            </w:tcBorders>
          </w:tcPr>
          <w:p>
            <w:pPr>
              <w:spacing w:after="0" w:line="264" w:lineRule="auto"/>
              <w:jc w:val="center"/>
            </w:pPr>
            <w:r>
              <w:rPr>
                <w:rFonts w:ascii="Arial" w:hAnsi="Arial" w:eastAsia="Microsoft YaHei"/>
                <w:b w:val="0"/>
                <w:color w:val="000000"/>
                <w:sz w:val="19"/>
              </w:rPr>
              <w:t>2,326</w:t>
            </w:r>
          </w:p>
        </w:tc>
      </w:tr>
    </w:tbl>
    <w:p>
      <w:pPr>
        <w:spacing w:after="20" w:line="96" w:lineRule="auto"/>
      </w:pPr>
    </w:p>
    <w:p>
      <w:pPr>
        <w:widowControl/>
      </w:pPr>
      <w:r>
        <w:rPr>
          <w:rFonts w:ascii="Arial" w:hAnsi="Arial" w:eastAsia="Microsoft YaHei"/>
          <w:b w:val="0"/>
          <w:color w:val="000000"/>
          <w:sz w:val="22"/>
        </w:rPr>
        <w:t>Input count falls by 45.45%, and coefficient/intercept count by about 44.78%. Single-run mean fitting times were approximately 1.95 and 0.61 seconds. These are descriptive timings rather than a repeated benchmark. The evaluation builds all66 and then subsets columns, so end-to-end feature-generation acceleration has not been demonstrated.</w:t>
      </w:r>
    </w:p>
    <w:p>
      <w:pPr>
        <w:pStyle w:val="Heading2"/>
      </w:pPr>
      <w:r>
        <w:rPr>
          <w:rFonts w:ascii="Arial" w:hAnsi="Arial" w:eastAsia="Microsoft YaHei"/>
          <w:b/>
          <w:color w:val="000000"/>
          <w:sz w:val="24"/>
        </w:rPr>
        <w:t>The season following selection</w:t>
      </w:r>
    </w:p>
    <w:p>
      <w:pPr>
        <w:widowControl/>
      </w:pPr>
      <w:r>
        <w:rPr>
          <w:rFonts w:ascii="Arial" w:hAnsi="Arial" w:eastAsia="Microsoft YaHei"/>
          <w:b w:val="0"/>
          <w:color w:val="000000"/>
          <w:sz w:val="22"/>
        </w:rPr>
        <w:t>For 2,036 matches in 2025/26, accuracy rose from 46.71% to 47.20% and LL fell from 1.051917 to 1.049789, with 10 additional correct predictions. Both primary improvement intervals included zero.</w:t>
      </w:r>
    </w:p>
    <w:p>
      <w:pPr>
        <w:widowControl/>
      </w:pPr>
      <w:r>
        <w:rPr>
          <w:rFonts w:ascii="Arial" w:hAnsi="Arial" w:eastAsia="Microsoft YaHei"/>
          <w:b w:val="0"/>
          <w:color w:val="000000"/>
          <w:sz w:val="22"/>
        </w:rPr>
        <w:t>That season follows selection in the original development chronology, but it has previously been inspected. Because later history informed the global subset choice, the full fixed-subset comparison is retrospective, not six independent post-selection holdouts.</w:t>
      </w:r>
    </w:p>
    <w:p>
      <w:r>
        <w:br w:type="page"/>
      </w:r>
    </w:p>
    <w:p>
      <w:pPr>
        <w:pStyle w:val="Heading1"/>
      </w:pPr>
      <w:r>
        <w:rPr>
          <w:rFonts w:ascii="Arial" w:hAnsi="Arial" w:eastAsia="Microsoft YaHei"/>
          <w:b/>
          <w:color w:val="000000"/>
          <w:sz w:val="30"/>
        </w:rPr>
        <w:t>Poisson Score Modelling and Fusion</w:t>
      </w:r>
    </w:p>
    <w:p>
      <w:pPr>
        <w:widowControl/>
      </w:pPr>
      <w:r>
        <w:rPr>
          <w:rFonts w:ascii="Arial" w:hAnsi="Arial" w:eastAsia="Microsoft YaHei"/>
          <w:b w:val="0"/>
          <w:color w:val="000000"/>
          <w:sz w:val="22"/>
        </w:rPr>
        <w:t>The new subset passed the validation-LL comparison before fusion was interpreted. The original Poisson estimator fits attack, defence and home advantage from historical full-time goals, with smoothing 0.05. All three score models share fitted parameters and a pre-match adaptive grid with omitted joint mass at most ten to the power minus twelve.</w:t>
      </w:r>
    </w:p>
    <w:tbl>
      <w:tblPr>
        <w:tblW w:type="auto" w:w="0"/>
        <w:jc w:val="center"/>
        <w:tblLayout w:type="fixed"/>
        <w:tblLook w:firstColumn="1" w:firstRow="1" w:lastColumn="0" w:lastRow="0" w:noHBand="0" w:noVBand="1" w:val="04A0"/>
      </w:tblPr>
      <w:tblGrid>
        <w:gridCol w:w="3096"/>
        <w:gridCol w:w="2232"/>
        <w:gridCol w:w="2232"/>
        <w:gridCol w:w="2232"/>
      </w:tblGrid>
      <w:tr>
        <w:trPr>
          <w:cantSplit/>
          <w:tblHeader/>
        </w:trPr>
        <w:tc>
          <w:tcPr>
            <w:tcW w:type="dxa" w:w="3096"/>
            <w:vAlign w:val="center"/>
            <w:tcMar>
              <w:top w:w="65" w:type="dxa"/>
              <w:left w:w="65" w:type="dxa"/>
              <w:bottom w:w="65" w:type="dxa"/>
              <w:right w:w="65" w:type="dxa"/>
            </w:tcMar>
            <w:shd w:fill="DCE6EF"/>
            <w:tcBorders>
              <w:top w:val="single" w:sz="4" w:color="D9D9D9"/>
              <w:left w:val="single" w:sz="4" w:color="D9D9D9"/>
              <w:bottom w:val="single" w:sz="4" w:color="D9D9D9"/>
              <w:right w:val="single" w:sz="4" w:color="D9D9D9"/>
            </w:tcBorders>
          </w:tcPr>
          <w:p>
            <w:pPr>
              <w:spacing w:after="0" w:line="264" w:lineRule="auto"/>
              <w:jc w:val="left"/>
            </w:pPr>
            <w:r>
              <w:rPr>
                <w:rFonts w:ascii="Arial" w:hAnsi="Arial" w:eastAsia="Microsoft YaHei"/>
                <w:b/>
                <w:color w:val="000000"/>
                <w:sz w:val="19"/>
              </w:rPr>
              <w:t>Model</w:t>
            </w:r>
          </w:p>
        </w:tc>
        <w:tc>
          <w:tcPr>
            <w:tcW w:type="dxa" w:w="2232"/>
            <w:vAlign w:val="center"/>
            <w:tcMar>
              <w:top w:w="65" w:type="dxa"/>
              <w:left w:w="65" w:type="dxa"/>
              <w:bottom w:w="65" w:type="dxa"/>
              <w:right w:w="65" w:type="dxa"/>
            </w:tcMar>
            <w:shd w:fill="DCE6EF"/>
            <w:tcBorders>
              <w:top w:val="single" w:sz="4" w:color="D9D9D9"/>
              <w:left w:val="single" w:sz="4" w:color="D9D9D9"/>
              <w:bottom w:val="single" w:sz="4" w:color="D9D9D9"/>
              <w:right w:val="single" w:sz="4" w:color="D9D9D9"/>
            </w:tcBorders>
          </w:tcPr>
          <w:p>
            <w:pPr>
              <w:spacing w:after="0" w:line="264" w:lineRule="auto"/>
              <w:jc w:val="center"/>
            </w:pPr>
            <w:r>
              <w:rPr>
                <w:rFonts w:ascii="Arial" w:hAnsi="Arial" w:eastAsia="Microsoft YaHei"/>
                <w:b/>
                <w:color w:val="000000"/>
                <w:sz w:val="19"/>
              </w:rPr>
              <w:t>Outcome acc</w:t>
            </w:r>
          </w:p>
        </w:tc>
        <w:tc>
          <w:tcPr>
            <w:tcW w:type="dxa" w:w="2232"/>
            <w:vAlign w:val="center"/>
            <w:tcMar>
              <w:top w:w="65" w:type="dxa"/>
              <w:left w:w="65" w:type="dxa"/>
              <w:bottom w:w="65" w:type="dxa"/>
              <w:right w:w="65" w:type="dxa"/>
            </w:tcMar>
            <w:shd w:fill="DCE6EF"/>
            <w:tcBorders>
              <w:top w:val="single" w:sz="4" w:color="D9D9D9"/>
              <w:left w:val="single" w:sz="4" w:color="D9D9D9"/>
              <w:bottom w:val="single" w:sz="4" w:color="D9D9D9"/>
              <w:right w:val="single" w:sz="4" w:color="D9D9D9"/>
            </w:tcBorders>
          </w:tcPr>
          <w:p>
            <w:pPr>
              <w:spacing w:after="0" w:line="264" w:lineRule="auto"/>
              <w:jc w:val="center"/>
            </w:pPr>
            <w:r>
              <w:rPr>
                <w:rFonts w:ascii="Arial" w:hAnsi="Arial" w:eastAsia="Microsoft YaHei"/>
                <w:b/>
                <w:color w:val="000000"/>
                <w:sz w:val="19"/>
              </w:rPr>
              <w:t>Exact score acc</w:t>
            </w:r>
          </w:p>
        </w:tc>
        <w:tc>
          <w:tcPr>
            <w:tcW w:type="dxa" w:w="2232"/>
            <w:vAlign w:val="center"/>
            <w:tcMar>
              <w:top w:w="65" w:type="dxa"/>
              <w:left w:w="65" w:type="dxa"/>
              <w:bottom w:w="65" w:type="dxa"/>
              <w:right w:w="65" w:type="dxa"/>
            </w:tcMar>
            <w:shd w:fill="DCE6EF"/>
            <w:tcBorders>
              <w:top w:val="single" w:sz="4" w:color="D9D9D9"/>
              <w:left w:val="single" w:sz="4" w:color="D9D9D9"/>
              <w:bottom w:val="single" w:sz="4" w:color="D9D9D9"/>
              <w:right w:val="single" w:sz="4" w:color="D9D9D9"/>
            </w:tcBorders>
          </w:tcPr>
          <w:p>
            <w:pPr>
              <w:spacing w:after="0" w:line="264" w:lineRule="auto"/>
              <w:jc w:val="center"/>
            </w:pPr>
            <w:r>
              <w:rPr>
                <w:rFonts w:ascii="Arial" w:hAnsi="Arial" w:eastAsia="Microsoft YaHei"/>
                <w:b/>
                <w:color w:val="000000"/>
                <w:sz w:val="19"/>
              </w:rPr>
              <w:t>Score NLL</w:t>
            </w:r>
          </w:p>
        </w:tc>
      </w:tr>
      <w:tr>
        <w:trPr>
          <w:cantSplit/>
        </w:trPr>
        <w:tc>
          <w:tcPr>
            <w:tcW w:type="dxa" w:w="3096"/>
            <w:vAlign w:val="center"/>
            <w:tcMar>
              <w:top w:w="65" w:type="dxa"/>
              <w:left w:w="65" w:type="dxa"/>
              <w:bottom w:w="65" w:type="dxa"/>
              <w:right w:w="65" w:type="dxa"/>
            </w:tcMar>
            <w:shd w:fill="FFFFFF"/>
            <w:tcBorders>
              <w:top w:val="single" w:sz="4" w:color="D9D9D9"/>
              <w:left w:val="single" w:sz="4" w:color="D9D9D9"/>
              <w:bottom w:val="single" w:sz="4" w:color="D9D9D9"/>
              <w:right w:val="single" w:sz="4" w:color="D9D9D9"/>
            </w:tcBorders>
          </w:tcPr>
          <w:p>
            <w:pPr>
              <w:spacing w:after="0" w:line="264" w:lineRule="auto"/>
              <w:jc w:val="left"/>
            </w:pPr>
            <w:r>
              <w:rPr>
                <w:rFonts w:ascii="Arial" w:hAnsi="Arial" w:eastAsia="Microsoft YaHei"/>
                <w:b w:val="0"/>
                <w:color w:val="000000"/>
                <w:sz w:val="19"/>
              </w:rPr>
              <w:t>Poisson</w:t>
            </w:r>
          </w:p>
        </w:tc>
        <w:tc>
          <w:tcPr>
            <w:tcW w:type="dxa" w:w="2232"/>
            <w:vAlign w:val="center"/>
            <w:tcMar>
              <w:top w:w="65" w:type="dxa"/>
              <w:left w:w="65" w:type="dxa"/>
              <w:bottom w:w="65" w:type="dxa"/>
              <w:right w:w="65" w:type="dxa"/>
            </w:tcMar>
            <w:shd w:fill="FFFFFF"/>
            <w:tcBorders>
              <w:top w:val="single" w:sz="4" w:color="D9D9D9"/>
              <w:left w:val="single" w:sz="4" w:color="D9D9D9"/>
              <w:bottom w:val="single" w:sz="4" w:color="D9D9D9"/>
              <w:right w:val="single" w:sz="4" w:color="D9D9D9"/>
            </w:tcBorders>
          </w:tcPr>
          <w:p>
            <w:pPr>
              <w:spacing w:after="0" w:line="264" w:lineRule="auto"/>
              <w:jc w:val="center"/>
            </w:pPr>
            <w:r>
              <w:rPr>
                <w:rFonts w:ascii="Arial" w:hAnsi="Arial" w:eastAsia="Microsoft YaHei"/>
                <w:b w:val="0"/>
                <w:color w:val="000000"/>
                <w:sz w:val="19"/>
              </w:rPr>
              <w:t>42.02%</w:t>
            </w:r>
          </w:p>
        </w:tc>
        <w:tc>
          <w:tcPr>
            <w:tcW w:type="dxa" w:w="2232"/>
            <w:vAlign w:val="center"/>
            <w:tcMar>
              <w:top w:w="65" w:type="dxa"/>
              <w:left w:w="65" w:type="dxa"/>
              <w:bottom w:w="65" w:type="dxa"/>
              <w:right w:w="65" w:type="dxa"/>
            </w:tcMar>
            <w:shd w:fill="FFFFFF"/>
            <w:tcBorders>
              <w:top w:val="single" w:sz="4" w:color="D9D9D9"/>
              <w:left w:val="single" w:sz="4" w:color="D9D9D9"/>
              <w:bottom w:val="single" w:sz="4" w:color="D9D9D9"/>
              <w:right w:val="single" w:sz="4" w:color="D9D9D9"/>
            </w:tcBorders>
          </w:tcPr>
          <w:p>
            <w:pPr>
              <w:spacing w:after="0" w:line="264" w:lineRule="auto"/>
              <w:jc w:val="center"/>
            </w:pPr>
            <w:r>
              <w:rPr>
                <w:rFonts w:ascii="Arial" w:hAnsi="Arial" w:eastAsia="Microsoft YaHei"/>
                <w:b w:val="0"/>
                <w:color w:val="000000"/>
                <w:sz w:val="19"/>
              </w:rPr>
              <w:t>11.85%</w:t>
            </w:r>
          </w:p>
        </w:tc>
        <w:tc>
          <w:tcPr>
            <w:tcW w:type="dxa" w:w="2232"/>
            <w:vAlign w:val="center"/>
            <w:tcMar>
              <w:top w:w="65" w:type="dxa"/>
              <w:left w:w="65" w:type="dxa"/>
              <w:bottom w:w="65" w:type="dxa"/>
              <w:right w:w="65" w:type="dxa"/>
            </w:tcMar>
            <w:shd w:fill="FFFFFF"/>
            <w:tcBorders>
              <w:top w:val="single" w:sz="4" w:color="D9D9D9"/>
              <w:left w:val="single" w:sz="4" w:color="D9D9D9"/>
              <w:bottom w:val="single" w:sz="4" w:color="D9D9D9"/>
              <w:right w:val="single" w:sz="4" w:color="D9D9D9"/>
            </w:tcBorders>
          </w:tcPr>
          <w:p>
            <w:pPr>
              <w:spacing w:after="0" w:line="264" w:lineRule="auto"/>
              <w:jc w:val="center"/>
            </w:pPr>
            <w:r>
              <w:rPr>
                <w:rFonts w:ascii="Arial" w:hAnsi="Arial" w:eastAsia="Microsoft YaHei"/>
                <w:b w:val="0"/>
                <w:color w:val="000000"/>
                <w:sz w:val="19"/>
              </w:rPr>
              <w:t>3.005417</w:t>
            </w:r>
          </w:p>
        </w:tc>
      </w:tr>
      <w:tr>
        <w:trPr>
          <w:cantSplit/>
        </w:trPr>
        <w:tc>
          <w:tcPr>
            <w:tcW w:type="dxa" w:w="3096"/>
            <w:vAlign w:val="center"/>
            <w:tcMar>
              <w:top w:w="65" w:type="dxa"/>
              <w:left w:w="65" w:type="dxa"/>
              <w:bottom w:w="65" w:type="dxa"/>
              <w:right w:w="65" w:type="dxa"/>
            </w:tcMar>
            <w:shd w:fill="F4F6F8"/>
            <w:tcBorders>
              <w:top w:val="single" w:sz="4" w:color="D9D9D9"/>
              <w:left w:val="single" w:sz="4" w:color="D9D9D9"/>
              <w:bottom w:val="single" w:sz="4" w:color="D9D9D9"/>
              <w:right w:val="single" w:sz="4" w:color="D9D9D9"/>
            </w:tcBorders>
          </w:tcPr>
          <w:p>
            <w:pPr>
              <w:spacing w:after="0" w:line="264" w:lineRule="auto"/>
              <w:jc w:val="left"/>
            </w:pPr>
            <w:r>
              <w:rPr>
                <w:rFonts w:ascii="Arial" w:hAnsi="Arial" w:eastAsia="Microsoft YaHei"/>
                <w:b w:val="0"/>
                <w:color w:val="000000"/>
                <w:sz w:val="19"/>
              </w:rPr>
              <w:t>LR66 fusion</w:t>
            </w:r>
          </w:p>
        </w:tc>
        <w:tc>
          <w:tcPr>
            <w:tcW w:type="dxa" w:w="2232"/>
            <w:vAlign w:val="center"/>
            <w:tcMar>
              <w:top w:w="65" w:type="dxa"/>
              <w:left w:w="65" w:type="dxa"/>
              <w:bottom w:w="65" w:type="dxa"/>
              <w:right w:w="65" w:type="dxa"/>
            </w:tcMar>
            <w:shd w:fill="F4F6F8"/>
            <w:tcBorders>
              <w:top w:val="single" w:sz="4" w:color="D9D9D9"/>
              <w:left w:val="single" w:sz="4" w:color="D9D9D9"/>
              <w:bottom w:val="single" w:sz="4" w:color="D9D9D9"/>
              <w:right w:val="single" w:sz="4" w:color="D9D9D9"/>
            </w:tcBorders>
          </w:tcPr>
          <w:p>
            <w:pPr>
              <w:spacing w:after="0" w:line="264" w:lineRule="auto"/>
              <w:jc w:val="center"/>
            </w:pPr>
            <w:r>
              <w:rPr>
                <w:rFonts w:ascii="Arial" w:hAnsi="Arial" w:eastAsia="Microsoft YaHei"/>
                <w:b w:val="0"/>
                <w:color w:val="000000"/>
                <w:sz w:val="19"/>
              </w:rPr>
              <w:t>45.63%</w:t>
            </w:r>
          </w:p>
        </w:tc>
        <w:tc>
          <w:tcPr>
            <w:tcW w:type="dxa" w:w="2232"/>
            <w:vAlign w:val="center"/>
            <w:tcMar>
              <w:top w:w="65" w:type="dxa"/>
              <w:left w:w="65" w:type="dxa"/>
              <w:bottom w:w="65" w:type="dxa"/>
              <w:right w:w="65" w:type="dxa"/>
            </w:tcMar>
            <w:shd w:fill="F4F6F8"/>
            <w:tcBorders>
              <w:top w:val="single" w:sz="4" w:color="D9D9D9"/>
              <w:left w:val="single" w:sz="4" w:color="D9D9D9"/>
              <w:bottom w:val="single" w:sz="4" w:color="D9D9D9"/>
              <w:right w:val="single" w:sz="4" w:color="D9D9D9"/>
            </w:tcBorders>
          </w:tcPr>
          <w:p>
            <w:pPr>
              <w:spacing w:after="0" w:line="264" w:lineRule="auto"/>
              <w:jc w:val="center"/>
            </w:pPr>
            <w:r>
              <w:rPr>
                <w:rFonts w:ascii="Arial" w:hAnsi="Arial" w:eastAsia="Microsoft YaHei"/>
                <w:b w:val="0"/>
                <w:color w:val="000000"/>
                <w:sz w:val="19"/>
              </w:rPr>
              <w:t>12.18%</w:t>
            </w:r>
          </w:p>
        </w:tc>
        <w:tc>
          <w:tcPr>
            <w:tcW w:type="dxa" w:w="2232"/>
            <w:vAlign w:val="center"/>
            <w:tcMar>
              <w:top w:w="65" w:type="dxa"/>
              <w:left w:w="65" w:type="dxa"/>
              <w:bottom w:w="65" w:type="dxa"/>
              <w:right w:w="65" w:type="dxa"/>
            </w:tcMar>
            <w:shd w:fill="F4F6F8"/>
            <w:tcBorders>
              <w:top w:val="single" w:sz="4" w:color="D9D9D9"/>
              <w:left w:val="single" w:sz="4" w:color="D9D9D9"/>
              <w:bottom w:val="single" w:sz="4" w:color="D9D9D9"/>
              <w:right w:val="single" w:sz="4" w:color="D9D9D9"/>
            </w:tcBorders>
          </w:tcPr>
          <w:p>
            <w:pPr>
              <w:spacing w:after="0" w:line="264" w:lineRule="auto"/>
              <w:jc w:val="center"/>
            </w:pPr>
            <w:r>
              <w:rPr>
                <w:rFonts w:ascii="Arial" w:hAnsi="Arial" w:eastAsia="Microsoft YaHei"/>
                <w:b w:val="0"/>
                <w:color w:val="000000"/>
                <w:sz w:val="19"/>
              </w:rPr>
              <w:t>2.967725</w:t>
            </w:r>
          </w:p>
        </w:tc>
      </w:tr>
      <w:tr>
        <w:trPr>
          <w:cantSplit/>
        </w:trPr>
        <w:tc>
          <w:tcPr>
            <w:tcW w:type="dxa" w:w="3096"/>
            <w:vAlign w:val="center"/>
            <w:tcMar>
              <w:top w:w="65" w:type="dxa"/>
              <w:left w:w="65" w:type="dxa"/>
              <w:bottom w:w="65" w:type="dxa"/>
              <w:right w:w="65" w:type="dxa"/>
            </w:tcMar>
            <w:shd w:fill="FFFFFF"/>
            <w:tcBorders>
              <w:top w:val="single" w:sz="4" w:color="D9D9D9"/>
              <w:left w:val="single" w:sz="4" w:color="D9D9D9"/>
              <w:bottom w:val="single" w:sz="4" w:color="D9D9D9"/>
              <w:right w:val="single" w:sz="4" w:color="D9D9D9"/>
            </w:tcBorders>
          </w:tcPr>
          <w:p>
            <w:pPr>
              <w:spacing w:after="0" w:line="264" w:lineRule="auto"/>
              <w:jc w:val="left"/>
            </w:pPr>
            <w:r>
              <w:rPr>
                <w:rFonts w:ascii="Arial" w:hAnsi="Arial" w:eastAsia="Microsoft YaHei"/>
                <w:b w:val="0"/>
                <w:color w:val="000000"/>
                <w:sz w:val="19"/>
              </w:rPr>
              <w:t>LR36 fusion</w:t>
            </w:r>
          </w:p>
        </w:tc>
        <w:tc>
          <w:tcPr>
            <w:tcW w:type="dxa" w:w="2232"/>
            <w:vAlign w:val="center"/>
            <w:tcMar>
              <w:top w:w="65" w:type="dxa"/>
              <w:left w:w="65" w:type="dxa"/>
              <w:bottom w:w="65" w:type="dxa"/>
              <w:right w:w="65" w:type="dxa"/>
            </w:tcMar>
            <w:shd w:fill="FFFFFF"/>
            <w:tcBorders>
              <w:top w:val="single" w:sz="4" w:color="D9D9D9"/>
              <w:left w:val="single" w:sz="4" w:color="D9D9D9"/>
              <w:bottom w:val="single" w:sz="4" w:color="D9D9D9"/>
              <w:right w:val="single" w:sz="4" w:color="D9D9D9"/>
            </w:tcBorders>
          </w:tcPr>
          <w:p>
            <w:pPr>
              <w:spacing w:after="0" w:line="264" w:lineRule="auto"/>
              <w:jc w:val="center"/>
            </w:pPr>
            <w:r>
              <w:rPr>
                <w:rFonts w:ascii="Arial" w:hAnsi="Arial" w:eastAsia="Microsoft YaHei"/>
                <w:b w:val="0"/>
                <w:color w:val="000000"/>
                <w:sz w:val="19"/>
              </w:rPr>
              <w:t>46.07%</w:t>
            </w:r>
          </w:p>
        </w:tc>
        <w:tc>
          <w:tcPr>
            <w:tcW w:type="dxa" w:w="2232"/>
            <w:vAlign w:val="center"/>
            <w:tcMar>
              <w:top w:w="65" w:type="dxa"/>
              <w:left w:w="65" w:type="dxa"/>
              <w:bottom w:w="65" w:type="dxa"/>
              <w:right w:w="65" w:type="dxa"/>
            </w:tcMar>
            <w:shd w:fill="FFFFFF"/>
            <w:tcBorders>
              <w:top w:val="single" w:sz="4" w:color="D9D9D9"/>
              <w:left w:val="single" w:sz="4" w:color="D9D9D9"/>
              <w:bottom w:val="single" w:sz="4" w:color="D9D9D9"/>
              <w:right w:val="single" w:sz="4" w:color="D9D9D9"/>
            </w:tcBorders>
          </w:tcPr>
          <w:p>
            <w:pPr>
              <w:spacing w:after="0" w:line="264" w:lineRule="auto"/>
              <w:jc w:val="center"/>
            </w:pPr>
            <w:r>
              <w:rPr>
                <w:rFonts w:ascii="Arial" w:hAnsi="Arial" w:eastAsia="Microsoft YaHei"/>
                <w:b w:val="0"/>
                <w:color w:val="000000"/>
                <w:sz w:val="19"/>
              </w:rPr>
              <w:t>12.05%</w:t>
            </w:r>
          </w:p>
        </w:tc>
        <w:tc>
          <w:tcPr>
            <w:tcW w:type="dxa" w:w="2232"/>
            <w:vAlign w:val="center"/>
            <w:tcMar>
              <w:top w:w="65" w:type="dxa"/>
              <w:left w:w="65" w:type="dxa"/>
              <w:bottom w:w="65" w:type="dxa"/>
              <w:right w:w="65" w:type="dxa"/>
            </w:tcMar>
            <w:shd w:fill="FFFFFF"/>
            <w:tcBorders>
              <w:top w:val="single" w:sz="4" w:color="D9D9D9"/>
              <w:left w:val="single" w:sz="4" w:color="D9D9D9"/>
              <w:bottom w:val="single" w:sz="4" w:color="D9D9D9"/>
              <w:right w:val="single" w:sz="4" w:color="D9D9D9"/>
            </w:tcBorders>
          </w:tcPr>
          <w:p>
            <w:pPr>
              <w:spacing w:after="0" w:line="264" w:lineRule="auto"/>
              <w:jc w:val="center"/>
            </w:pPr>
            <w:r>
              <w:rPr>
                <w:rFonts w:ascii="Arial" w:hAnsi="Arial" w:eastAsia="Microsoft YaHei"/>
                <w:b w:val="0"/>
                <w:color w:val="000000"/>
                <w:sz w:val="19"/>
              </w:rPr>
              <w:t>2.964762</w:t>
            </w:r>
          </w:p>
        </w:tc>
      </w:tr>
    </w:tbl>
    <w:p>
      <w:pPr>
        <w:spacing w:after="20" w:line="96" w:lineRule="auto"/>
      </w:pPr>
    </w:p>
    <w:tbl>
      <w:tblPr>
        <w:tblW w:type="auto" w:w="0"/>
        <w:jc w:val="center"/>
        <w:tblLayout w:type="fixed"/>
        <w:tblLook w:firstColumn="1" w:firstRow="1" w:lastColumn="0" w:lastRow="0" w:noHBand="0" w:noVBand="1" w:val="04A0"/>
      </w:tblPr>
      <w:tblGrid>
        <w:gridCol w:w="3096"/>
        <w:gridCol w:w="2232"/>
        <w:gridCol w:w="2232"/>
        <w:gridCol w:w="2232"/>
      </w:tblGrid>
      <w:tr>
        <w:trPr>
          <w:cantSplit/>
          <w:tblHeader/>
        </w:trPr>
        <w:tc>
          <w:tcPr>
            <w:tcW w:type="dxa" w:w="3096"/>
            <w:vAlign w:val="center"/>
            <w:tcMar>
              <w:top w:w="65" w:type="dxa"/>
              <w:left w:w="65" w:type="dxa"/>
              <w:bottom w:w="65" w:type="dxa"/>
              <w:right w:w="65" w:type="dxa"/>
            </w:tcMar>
            <w:shd w:fill="DCE6EF"/>
            <w:tcBorders>
              <w:top w:val="single" w:sz="4" w:color="D9D9D9"/>
              <w:left w:val="single" w:sz="4" w:color="D9D9D9"/>
              <w:bottom w:val="single" w:sz="4" w:color="D9D9D9"/>
              <w:right w:val="single" w:sz="4" w:color="D9D9D9"/>
            </w:tcBorders>
          </w:tcPr>
          <w:p>
            <w:pPr>
              <w:spacing w:after="0" w:line="264" w:lineRule="auto"/>
              <w:jc w:val="left"/>
            </w:pPr>
            <w:r>
              <w:rPr>
                <w:rFonts w:ascii="Arial" w:hAnsi="Arial" w:eastAsia="Microsoft YaHei"/>
                <w:b/>
                <w:color w:val="000000"/>
                <w:sz w:val="19"/>
              </w:rPr>
              <w:t>Model</w:t>
            </w:r>
          </w:p>
        </w:tc>
        <w:tc>
          <w:tcPr>
            <w:tcW w:type="dxa" w:w="2232"/>
            <w:vAlign w:val="center"/>
            <w:tcMar>
              <w:top w:w="65" w:type="dxa"/>
              <w:left w:w="65" w:type="dxa"/>
              <w:bottom w:w="65" w:type="dxa"/>
              <w:right w:w="65" w:type="dxa"/>
            </w:tcMar>
            <w:shd w:fill="DCE6EF"/>
            <w:tcBorders>
              <w:top w:val="single" w:sz="4" w:color="D9D9D9"/>
              <w:left w:val="single" w:sz="4" w:color="D9D9D9"/>
              <w:bottom w:val="single" w:sz="4" w:color="D9D9D9"/>
              <w:right w:val="single" w:sz="4" w:color="D9D9D9"/>
            </w:tcBorders>
          </w:tcPr>
          <w:p>
            <w:pPr>
              <w:spacing w:after="0" w:line="264" w:lineRule="auto"/>
              <w:jc w:val="center"/>
            </w:pPr>
            <w:r>
              <w:rPr>
                <w:rFonts w:ascii="Arial" w:hAnsi="Arial" w:eastAsia="Microsoft YaHei"/>
                <w:b/>
                <w:color w:val="000000"/>
                <w:sz w:val="19"/>
              </w:rPr>
              <w:t>Home MAE</w:t>
            </w:r>
          </w:p>
        </w:tc>
        <w:tc>
          <w:tcPr>
            <w:tcW w:type="dxa" w:w="2232"/>
            <w:vAlign w:val="center"/>
            <w:tcMar>
              <w:top w:w="65" w:type="dxa"/>
              <w:left w:w="65" w:type="dxa"/>
              <w:bottom w:w="65" w:type="dxa"/>
              <w:right w:w="65" w:type="dxa"/>
            </w:tcMar>
            <w:shd w:fill="DCE6EF"/>
            <w:tcBorders>
              <w:top w:val="single" w:sz="4" w:color="D9D9D9"/>
              <w:left w:val="single" w:sz="4" w:color="D9D9D9"/>
              <w:bottom w:val="single" w:sz="4" w:color="D9D9D9"/>
              <w:right w:val="single" w:sz="4" w:color="D9D9D9"/>
            </w:tcBorders>
          </w:tcPr>
          <w:p>
            <w:pPr>
              <w:spacing w:after="0" w:line="264" w:lineRule="auto"/>
              <w:jc w:val="center"/>
            </w:pPr>
            <w:r>
              <w:rPr>
                <w:rFonts w:ascii="Arial" w:hAnsi="Arial" w:eastAsia="Microsoft YaHei"/>
                <w:b/>
                <w:color w:val="000000"/>
                <w:sz w:val="19"/>
              </w:rPr>
              <w:t>Away MAE</w:t>
            </w:r>
          </w:p>
        </w:tc>
        <w:tc>
          <w:tcPr>
            <w:tcW w:type="dxa" w:w="2232"/>
            <w:vAlign w:val="center"/>
            <w:tcMar>
              <w:top w:w="65" w:type="dxa"/>
              <w:left w:w="65" w:type="dxa"/>
              <w:bottom w:w="65" w:type="dxa"/>
              <w:right w:w="65" w:type="dxa"/>
            </w:tcMar>
            <w:shd w:fill="DCE6EF"/>
            <w:tcBorders>
              <w:top w:val="single" w:sz="4" w:color="D9D9D9"/>
              <w:left w:val="single" w:sz="4" w:color="D9D9D9"/>
              <w:bottom w:val="single" w:sz="4" w:color="D9D9D9"/>
              <w:right w:val="single" w:sz="4" w:color="D9D9D9"/>
            </w:tcBorders>
          </w:tcPr>
          <w:p>
            <w:pPr>
              <w:spacing w:after="0" w:line="264" w:lineRule="auto"/>
              <w:jc w:val="center"/>
            </w:pPr>
            <w:r>
              <w:rPr>
                <w:rFonts w:ascii="Arial" w:hAnsi="Arial" w:eastAsia="Microsoft YaHei"/>
                <w:b/>
                <w:color w:val="000000"/>
                <w:sz w:val="19"/>
              </w:rPr>
              <w:t>Total MAE</w:t>
            </w:r>
          </w:p>
        </w:tc>
      </w:tr>
      <w:tr>
        <w:trPr>
          <w:cantSplit/>
        </w:trPr>
        <w:tc>
          <w:tcPr>
            <w:tcW w:type="dxa" w:w="3096"/>
            <w:vAlign w:val="center"/>
            <w:tcMar>
              <w:top w:w="65" w:type="dxa"/>
              <w:left w:w="65" w:type="dxa"/>
              <w:bottom w:w="65" w:type="dxa"/>
              <w:right w:w="65" w:type="dxa"/>
            </w:tcMar>
            <w:shd w:fill="FFFFFF"/>
            <w:tcBorders>
              <w:top w:val="single" w:sz="4" w:color="D9D9D9"/>
              <w:left w:val="single" w:sz="4" w:color="D9D9D9"/>
              <w:bottom w:val="single" w:sz="4" w:color="D9D9D9"/>
              <w:right w:val="single" w:sz="4" w:color="D9D9D9"/>
            </w:tcBorders>
          </w:tcPr>
          <w:p>
            <w:pPr>
              <w:spacing w:after="0" w:line="264" w:lineRule="auto"/>
              <w:jc w:val="left"/>
            </w:pPr>
            <w:r>
              <w:rPr>
                <w:rFonts w:ascii="Arial" w:hAnsi="Arial" w:eastAsia="Microsoft YaHei"/>
                <w:b w:val="0"/>
                <w:color w:val="000000"/>
                <w:sz w:val="19"/>
              </w:rPr>
              <w:t>Poisson</w:t>
            </w:r>
          </w:p>
        </w:tc>
        <w:tc>
          <w:tcPr>
            <w:tcW w:type="dxa" w:w="2232"/>
            <w:vAlign w:val="center"/>
            <w:tcMar>
              <w:top w:w="65" w:type="dxa"/>
              <w:left w:w="65" w:type="dxa"/>
              <w:bottom w:w="65" w:type="dxa"/>
              <w:right w:w="65" w:type="dxa"/>
            </w:tcMar>
            <w:shd w:fill="FFFFFF"/>
            <w:tcBorders>
              <w:top w:val="single" w:sz="4" w:color="D9D9D9"/>
              <w:left w:val="single" w:sz="4" w:color="D9D9D9"/>
              <w:bottom w:val="single" w:sz="4" w:color="D9D9D9"/>
              <w:right w:val="single" w:sz="4" w:color="D9D9D9"/>
            </w:tcBorders>
          </w:tcPr>
          <w:p>
            <w:pPr>
              <w:spacing w:after="0" w:line="264" w:lineRule="auto"/>
              <w:jc w:val="center"/>
            </w:pPr>
            <w:r>
              <w:rPr>
                <w:rFonts w:ascii="Arial" w:hAnsi="Arial" w:eastAsia="Microsoft YaHei"/>
                <w:b w:val="0"/>
                <w:color w:val="000000"/>
                <w:sz w:val="19"/>
              </w:rPr>
              <w:t>1.04658</w:t>
            </w:r>
          </w:p>
        </w:tc>
        <w:tc>
          <w:tcPr>
            <w:tcW w:type="dxa" w:w="2232"/>
            <w:vAlign w:val="center"/>
            <w:tcMar>
              <w:top w:w="65" w:type="dxa"/>
              <w:left w:w="65" w:type="dxa"/>
              <w:bottom w:w="65" w:type="dxa"/>
              <w:right w:w="65" w:type="dxa"/>
            </w:tcMar>
            <w:shd w:fill="FFFFFF"/>
            <w:tcBorders>
              <w:top w:val="single" w:sz="4" w:color="D9D9D9"/>
              <w:left w:val="single" w:sz="4" w:color="D9D9D9"/>
              <w:bottom w:val="single" w:sz="4" w:color="D9D9D9"/>
              <w:right w:val="single" w:sz="4" w:color="D9D9D9"/>
            </w:tcBorders>
          </w:tcPr>
          <w:p>
            <w:pPr>
              <w:spacing w:after="0" w:line="264" w:lineRule="auto"/>
              <w:jc w:val="center"/>
            </w:pPr>
            <w:r>
              <w:rPr>
                <w:rFonts w:ascii="Arial" w:hAnsi="Arial" w:eastAsia="Microsoft YaHei"/>
                <w:b w:val="0"/>
                <w:color w:val="000000"/>
                <w:sz w:val="19"/>
              </w:rPr>
              <w:t>0.94239</w:t>
            </w:r>
          </w:p>
        </w:tc>
        <w:tc>
          <w:tcPr>
            <w:tcW w:type="dxa" w:w="2232"/>
            <w:vAlign w:val="center"/>
            <w:tcMar>
              <w:top w:w="65" w:type="dxa"/>
              <w:left w:w="65" w:type="dxa"/>
              <w:bottom w:w="65" w:type="dxa"/>
              <w:right w:w="65" w:type="dxa"/>
            </w:tcMar>
            <w:shd w:fill="FFFFFF"/>
            <w:tcBorders>
              <w:top w:val="single" w:sz="4" w:color="D9D9D9"/>
              <w:left w:val="single" w:sz="4" w:color="D9D9D9"/>
              <w:bottom w:val="single" w:sz="4" w:color="D9D9D9"/>
              <w:right w:val="single" w:sz="4" w:color="D9D9D9"/>
            </w:tcBorders>
          </w:tcPr>
          <w:p>
            <w:pPr>
              <w:spacing w:after="0" w:line="264" w:lineRule="auto"/>
              <w:jc w:val="center"/>
            </w:pPr>
            <w:r>
              <w:rPr>
                <w:rFonts w:ascii="Arial" w:hAnsi="Arial" w:eastAsia="Microsoft YaHei"/>
                <w:b w:val="0"/>
                <w:color w:val="000000"/>
                <w:sz w:val="19"/>
              </w:rPr>
              <w:t>1.39461</w:t>
            </w:r>
          </w:p>
        </w:tc>
      </w:tr>
      <w:tr>
        <w:trPr>
          <w:cantSplit/>
        </w:trPr>
        <w:tc>
          <w:tcPr>
            <w:tcW w:type="dxa" w:w="3096"/>
            <w:vAlign w:val="center"/>
            <w:tcMar>
              <w:top w:w="65" w:type="dxa"/>
              <w:left w:w="65" w:type="dxa"/>
              <w:bottom w:w="65" w:type="dxa"/>
              <w:right w:w="65" w:type="dxa"/>
            </w:tcMar>
            <w:shd w:fill="F4F6F8"/>
            <w:tcBorders>
              <w:top w:val="single" w:sz="4" w:color="D9D9D9"/>
              <w:left w:val="single" w:sz="4" w:color="D9D9D9"/>
              <w:bottom w:val="single" w:sz="4" w:color="D9D9D9"/>
              <w:right w:val="single" w:sz="4" w:color="D9D9D9"/>
            </w:tcBorders>
          </w:tcPr>
          <w:p>
            <w:pPr>
              <w:spacing w:after="0" w:line="264" w:lineRule="auto"/>
              <w:jc w:val="left"/>
            </w:pPr>
            <w:r>
              <w:rPr>
                <w:rFonts w:ascii="Arial" w:hAnsi="Arial" w:eastAsia="Microsoft YaHei"/>
                <w:b w:val="0"/>
                <w:color w:val="000000"/>
                <w:sz w:val="19"/>
              </w:rPr>
              <w:t>LR66 fusion</w:t>
            </w:r>
          </w:p>
        </w:tc>
        <w:tc>
          <w:tcPr>
            <w:tcW w:type="dxa" w:w="2232"/>
            <w:vAlign w:val="center"/>
            <w:tcMar>
              <w:top w:w="65" w:type="dxa"/>
              <w:left w:w="65" w:type="dxa"/>
              <w:bottom w:w="65" w:type="dxa"/>
              <w:right w:w="65" w:type="dxa"/>
            </w:tcMar>
            <w:shd w:fill="F4F6F8"/>
            <w:tcBorders>
              <w:top w:val="single" w:sz="4" w:color="D9D9D9"/>
              <w:left w:val="single" w:sz="4" w:color="D9D9D9"/>
              <w:bottom w:val="single" w:sz="4" w:color="D9D9D9"/>
              <w:right w:val="single" w:sz="4" w:color="D9D9D9"/>
            </w:tcBorders>
          </w:tcPr>
          <w:p>
            <w:pPr>
              <w:spacing w:after="0" w:line="264" w:lineRule="auto"/>
              <w:jc w:val="center"/>
            </w:pPr>
            <w:r>
              <w:rPr>
                <w:rFonts w:ascii="Arial" w:hAnsi="Arial" w:eastAsia="Microsoft YaHei"/>
                <w:b w:val="0"/>
                <w:color w:val="000000"/>
                <w:sz w:val="19"/>
              </w:rPr>
              <w:t>0.99905</w:t>
            </w:r>
          </w:p>
        </w:tc>
        <w:tc>
          <w:tcPr>
            <w:tcW w:type="dxa" w:w="2232"/>
            <w:vAlign w:val="center"/>
            <w:tcMar>
              <w:top w:w="65" w:type="dxa"/>
              <w:left w:w="65" w:type="dxa"/>
              <w:bottom w:w="65" w:type="dxa"/>
              <w:right w:w="65" w:type="dxa"/>
            </w:tcMar>
            <w:shd w:fill="F4F6F8"/>
            <w:tcBorders>
              <w:top w:val="single" w:sz="4" w:color="D9D9D9"/>
              <w:left w:val="single" w:sz="4" w:color="D9D9D9"/>
              <w:bottom w:val="single" w:sz="4" w:color="D9D9D9"/>
              <w:right w:val="single" w:sz="4" w:color="D9D9D9"/>
            </w:tcBorders>
          </w:tcPr>
          <w:p>
            <w:pPr>
              <w:spacing w:after="0" w:line="264" w:lineRule="auto"/>
              <w:jc w:val="center"/>
            </w:pPr>
            <w:r>
              <w:rPr>
                <w:rFonts w:ascii="Arial" w:hAnsi="Arial" w:eastAsia="Microsoft YaHei"/>
                <w:b w:val="0"/>
                <w:color w:val="000000"/>
                <w:sz w:val="19"/>
              </w:rPr>
              <w:t>0.92388</w:t>
            </w:r>
          </w:p>
        </w:tc>
        <w:tc>
          <w:tcPr>
            <w:tcW w:type="dxa" w:w="2232"/>
            <w:vAlign w:val="center"/>
            <w:tcMar>
              <w:top w:w="65" w:type="dxa"/>
              <w:left w:w="65" w:type="dxa"/>
              <w:bottom w:w="65" w:type="dxa"/>
              <w:right w:w="65" w:type="dxa"/>
            </w:tcMar>
            <w:shd w:fill="F4F6F8"/>
            <w:tcBorders>
              <w:top w:val="single" w:sz="4" w:color="D9D9D9"/>
              <w:left w:val="single" w:sz="4" w:color="D9D9D9"/>
              <w:bottom w:val="single" w:sz="4" w:color="D9D9D9"/>
              <w:right w:val="single" w:sz="4" w:color="D9D9D9"/>
            </w:tcBorders>
          </w:tcPr>
          <w:p>
            <w:pPr>
              <w:spacing w:after="0" w:line="264" w:lineRule="auto"/>
              <w:jc w:val="center"/>
            </w:pPr>
            <w:r>
              <w:rPr>
                <w:rFonts w:ascii="Arial" w:hAnsi="Arial" w:eastAsia="Microsoft YaHei"/>
                <w:b w:val="0"/>
                <w:color w:val="000000"/>
                <w:sz w:val="19"/>
              </w:rPr>
              <w:t>1.37539</w:t>
            </w:r>
          </w:p>
        </w:tc>
      </w:tr>
      <w:tr>
        <w:trPr>
          <w:cantSplit/>
        </w:trPr>
        <w:tc>
          <w:tcPr>
            <w:tcW w:type="dxa" w:w="3096"/>
            <w:vAlign w:val="center"/>
            <w:tcMar>
              <w:top w:w="65" w:type="dxa"/>
              <w:left w:w="65" w:type="dxa"/>
              <w:bottom w:w="65" w:type="dxa"/>
              <w:right w:w="65" w:type="dxa"/>
            </w:tcMar>
            <w:shd w:fill="FFFFFF"/>
            <w:tcBorders>
              <w:top w:val="single" w:sz="4" w:color="D9D9D9"/>
              <w:left w:val="single" w:sz="4" w:color="D9D9D9"/>
              <w:bottom w:val="single" w:sz="4" w:color="D9D9D9"/>
              <w:right w:val="single" w:sz="4" w:color="D9D9D9"/>
            </w:tcBorders>
          </w:tcPr>
          <w:p>
            <w:pPr>
              <w:spacing w:after="0" w:line="264" w:lineRule="auto"/>
              <w:jc w:val="left"/>
            </w:pPr>
            <w:r>
              <w:rPr>
                <w:rFonts w:ascii="Arial" w:hAnsi="Arial" w:eastAsia="Microsoft YaHei"/>
                <w:b w:val="0"/>
                <w:color w:val="000000"/>
                <w:sz w:val="19"/>
              </w:rPr>
              <w:t>LR36 fusion</w:t>
            </w:r>
          </w:p>
        </w:tc>
        <w:tc>
          <w:tcPr>
            <w:tcW w:type="dxa" w:w="2232"/>
            <w:vAlign w:val="center"/>
            <w:tcMar>
              <w:top w:w="65" w:type="dxa"/>
              <w:left w:w="65" w:type="dxa"/>
              <w:bottom w:w="65" w:type="dxa"/>
              <w:right w:w="65" w:type="dxa"/>
            </w:tcMar>
            <w:shd w:fill="FFFFFF"/>
            <w:tcBorders>
              <w:top w:val="single" w:sz="4" w:color="D9D9D9"/>
              <w:left w:val="single" w:sz="4" w:color="D9D9D9"/>
              <w:bottom w:val="single" w:sz="4" w:color="D9D9D9"/>
              <w:right w:val="single" w:sz="4" w:color="D9D9D9"/>
            </w:tcBorders>
          </w:tcPr>
          <w:p>
            <w:pPr>
              <w:spacing w:after="0" w:line="264" w:lineRule="auto"/>
              <w:jc w:val="center"/>
            </w:pPr>
            <w:r>
              <w:rPr>
                <w:rFonts w:ascii="Arial" w:hAnsi="Arial" w:eastAsia="Microsoft YaHei"/>
                <w:b w:val="0"/>
                <w:color w:val="000000"/>
                <w:sz w:val="19"/>
              </w:rPr>
              <w:t>0.99938</w:t>
            </w:r>
          </w:p>
        </w:tc>
        <w:tc>
          <w:tcPr>
            <w:tcW w:type="dxa" w:w="2232"/>
            <w:vAlign w:val="center"/>
            <w:tcMar>
              <w:top w:w="65" w:type="dxa"/>
              <w:left w:w="65" w:type="dxa"/>
              <w:bottom w:w="65" w:type="dxa"/>
              <w:right w:w="65" w:type="dxa"/>
            </w:tcMar>
            <w:shd w:fill="FFFFFF"/>
            <w:tcBorders>
              <w:top w:val="single" w:sz="4" w:color="D9D9D9"/>
              <w:left w:val="single" w:sz="4" w:color="D9D9D9"/>
              <w:bottom w:val="single" w:sz="4" w:color="D9D9D9"/>
              <w:right w:val="single" w:sz="4" w:color="D9D9D9"/>
            </w:tcBorders>
          </w:tcPr>
          <w:p>
            <w:pPr>
              <w:spacing w:after="0" w:line="264" w:lineRule="auto"/>
              <w:jc w:val="center"/>
            </w:pPr>
            <w:r>
              <w:rPr>
                <w:rFonts w:ascii="Arial" w:hAnsi="Arial" w:eastAsia="Microsoft YaHei"/>
                <w:b w:val="0"/>
                <w:color w:val="000000"/>
                <w:sz w:val="19"/>
              </w:rPr>
              <w:t>0.92414</w:t>
            </w:r>
          </w:p>
        </w:tc>
        <w:tc>
          <w:tcPr>
            <w:tcW w:type="dxa" w:w="2232"/>
            <w:vAlign w:val="center"/>
            <w:tcMar>
              <w:top w:w="65" w:type="dxa"/>
              <w:left w:w="65" w:type="dxa"/>
              <w:bottom w:w="65" w:type="dxa"/>
              <w:right w:w="65" w:type="dxa"/>
            </w:tcMar>
            <w:shd w:fill="FFFFFF"/>
            <w:tcBorders>
              <w:top w:val="single" w:sz="4" w:color="D9D9D9"/>
              <w:left w:val="single" w:sz="4" w:color="D9D9D9"/>
              <w:bottom w:val="single" w:sz="4" w:color="D9D9D9"/>
              <w:right w:val="single" w:sz="4" w:color="D9D9D9"/>
            </w:tcBorders>
          </w:tcPr>
          <w:p>
            <w:pPr>
              <w:spacing w:after="0" w:line="264" w:lineRule="auto"/>
              <w:jc w:val="center"/>
            </w:pPr>
            <w:r>
              <w:rPr>
                <w:rFonts w:ascii="Arial" w:hAnsi="Arial" w:eastAsia="Microsoft YaHei"/>
                <w:b w:val="0"/>
                <w:color w:val="000000"/>
                <w:sz w:val="19"/>
              </w:rPr>
              <w:t>1.37545</w:t>
            </w:r>
          </w:p>
        </w:tc>
      </w:tr>
    </w:tbl>
    <w:p>
      <w:pPr>
        <w:spacing w:after="20" w:line="96" w:lineRule="auto"/>
      </w:pPr>
    </w:p>
    <w:p>
      <w:pPr>
        <w:pStyle w:val="Heading2"/>
      </w:pPr>
      <w:r>
        <w:rPr>
          <w:rFonts w:ascii="Arial" w:hAnsi="Arial" w:eastAsia="Microsoft YaHei"/>
          <w:b/>
          <w:color w:val="000000"/>
          <w:sz w:val="24"/>
        </w:rPr>
        <w:t>Reweighting outcome regions</w:t>
      </w:r>
    </w:p>
    <w:p>
      <w:pPr>
        <w:widowControl/>
      </w:pPr>
      <w:r>
        <w:rPr>
          <w:rFonts w:ascii="Arial" w:hAnsi="Arial" w:eastAsia="Microsoft YaHei"/>
          <w:b w:val="0"/>
          <w:color w:val="000000"/>
          <w:sz w:val="22"/>
        </w:rPr>
        <w:t>Matrix rows represent home goals and columns represent away goals. Class order is away, draw, home. Each region preserves its Poisson conditional score ratios, while its total mass is set to the corresponding LR probability.</w:t>
      </w:r>
    </w:p>
    <w:p>
      <w:pPr>
        <w:jc w:val="center"/>
      </w:pPr>
      <m:oMathPara>
        <m:oMath>
          <m:r>
            <m:t>F(i,j) = </m:t>
          </m:r>
          <m:f>
            <m:num>
              <m:r>
                <m:t>q(c) · P(i,j)</m:t>
              </m:r>
            </m:num>
            <m:den>
              <m:r>
                <m:t>S(c)</m:t>
              </m:r>
            </m:den>
          </m:f>
        </m:oMath>
      </m:oMathPara>
    </w:p>
    <w:p>
      <w:pPr>
        <w:widowControl/>
      </w:pPr>
      <w:r>
        <w:rPr>
          <w:rFonts w:ascii="Arial" w:hAnsi="Arial" w:eastAsia="Microsoft YaHei"/>
          <w:b w:val="0"/>
          <w:color w:val="000000"/>
          <w:sz w:val="22"/>
        </w:rPr>
        <w:t>Here c is the scoreline outcome class, q is the LR probability and S is the original Poisson class mass. Aggregated fusion outcome probabilities therefore equal LR probabilities. Goal MAE uses each matrix expectation; exact-score accuracy uses its mode.</w:t>
      </w:r>
    </w:p>
    <w:p>
      <w:pPr>
        <w:widowControl/>
      </w:pPr>
      <w:r>
        <w:rPr>
          <w:rFonts w:ascii="Arial" w:hAnsi="Arial" w:eastAsia="Microsoft YaHei"/>
          <w:b w:val="0"/>
          <w:color w:val="000000"/>
          <w:sz w:val="22"/>
        </w:rPr>
        <w:t>Compared with pure Poisson, LR36 fusion hit 24 more exact scores and improved NLL and MAE. Compared with LR66 fusion, NLL fell further but there were 16 fewer exact hits and slightly worse MAE. Feature reduction did not further improve every score metric.</w:t>
      </w:r>
    </w:p>
    <w:p>
      <w:r>
        <w:br w:type="page"/>
      </w:r>
    </w:p>
    <w:p>
      <w:pPr>
        <w:pStyle w:val="Heading1"/>
      </w:pPr>
      <w:r>
        <w:rPr>
          <w:rFonts w:ascii="Arial" w:hAnsi="Arial" w:eastAsia="Microsoft YaHei"/>
          <w:b/>
          <w:color w:val="000000"/>
          <w:sz w:val="30"/>
        </w:rPr>
        <w:t>Uncertainty in the Results</w:t>
      </w:r>
    </w:p>
    <w:p>
      <w:pPr>
        <w:widowControl/>
      </w:pPr>
      <w:r>
        <w:rPr>
          <w:rFonts w:ascii="Arial" w:hAnsi="Arial" w:eastAsia="Microsoft YaHei"/>
          <w:b w:val="0"/>
          <w:color w:val="000000"/>
          <w:sz w:val="22"/>
        </w:rPr>
        <w:t>Primary intervals use 4,000 paired whole-date bootstrap resamples stratified by season. Accuracy and exact-score changes below are percentage points; LL and NLL retain their original units.</w:t>
      </w:r>
    </w:p>
    <w:tbl>
      <w:tblPr>
        <w:tblW w:type="auto" w:w="0"/>
        <w:jc w:val="center"/>
        <w:tblLayout w:type="fixed"/>
        <w:tblLook w:firstColumn="1" w:firstRow="1" w:lastColumn="0" w:lastRow="0" w:noHBand="0" w:noVBand="1" w:val="04A0"/>
      </w:tblPr>
      <w:tblGrid>
        <w:gridCol w:w="4392"/>
        <w:gridCol w:w="1512"/>
        <w:gridCol w:w="3888"/>
      </w:tblGrid>
      <w:tr>
        <w:trPr>
          <w:cantSplit/>
          <w:tblHeader/>
        </w:trPr>
        <w:tc>
          <w:tcPr>
            <w:tcW w:type="dxa" w:w="4392"/>
            <w:vAlign w:val="center"/>
            <w:tcMar>
              <w:top w:w="65" w:type="dxa"/>
              <w:left w:w="65" w:type="dxa"/>
              <w:bottom w:w="65" w:type="dxa"/>
              <w:right w:w="65" w:type="dxa"/>
            </w:tcMar>
            <w:shd w:fill="DCE6EF"/>
            <w:tcBorders>
              <w:top w:val="single" w:sz="4" w:color="D9D9D9"/>
              <w:left w:val="single" w:sz="4" w:color="D9D9D9"/>
              <w:bottom w:val="single" w:sz="4" w:color="D9D9D9"/>
              <w:right w:val="single" w:sz="4" w:color="D9D9D9"/>
            </w:tcBorders>
          </w:tcPr>
          <w:p>
            <w:pPr>
              <w:spacing w:after="0" w:line="264" w:lineRule="auto"/>
              <w:jc w:val="left"/>
            </w:pPr>
            <w:r>
              <w:rPr>
                <w:rFonts w:ascii="Arial" w:hAnsi="Arial" w:eastAsia="Microsoft YaHei"/>
                <w:b/>
                <w:color w:val="000000"/>
                <w:sz w:val="19"/>
              </w:rPr>
              <w:t>Comparison and metric</w:t>
            </w:r>
          </w:p>
        </w:tc>
        <w:tc>
          <w:tcPr>
            <w:tcW w:type="dxa" w:w="1512"/>
            <w:vAlign w:val="center"/>
            <w:tcMar>
              <w:top w:w="65" w:type="dxa"/>
              <w:left w:w="65" w:type="dxa"/>
              <w:bottom w:w="65" w:type="dxa"/>
              <w:right w:w="65" w:type="dxa"/>
            </w:tcMar>
            <w:shd w:fill="DCE6EF"/>
            <w:tcBorders>
              <w:top w:val="single" w:sz="4" w:color="D9D9D9"/>
              <w:left w:val="single" w:sz="4" w:color="D9D9D9"/>
              <w:bottom w:val="single" w:sz="4" w:color="D9D9D9"/>
              <w:right w:val="single" w:sz="4" w:color="D9D9D9"/>
            </w:tcBorders>
          </w:tcPr>
          <w:p>
            <w:pPr>
              <w:spacing w:after="0" w:line="264" w:lineRule="auto"/>
              <w:jc w:val="center"/>
            </w:pPr>
            <w:r>
              <w:rPr>
                <w:rFonts w:ascii="Arial" w:hAnsi="Arial" w:eastAsia="Microsoft YaHei"/>
                <w:b/>
                <w:color w:val="000000"/>
                <w:sz w:val="19"/>
              </w:rPr>
              <w:t>Change</w:t>
            </w:r>
          </w:p>
        </w:tc>
        <w:tc>
          <w:tcPr>
            <w:tcW w:type="dxa" w:w="3888"/>
            <w:vAlign w:val="center"/>
            <w:tcMar>
              <w:top w:w="65" w:type="dxa"/>
              <w:left w:w="65" w:type="dxa"/>
              <w:bottom w:w="65" w:type="dxa"/>
              <w:right w:w="65" w:type="dxa"/>
            </w:tcMar>
            <w:shd w:fill="DCE6EF"/>
            <w:tcBorders>
              <w:top w:val="single" w:sz="4" w:color="D9D9D9"/>
              <w:left w:val="single" w:sz="4" w:color="D9D9D9"/>
              <w:bottom w:val="single" w:sz="4" w:color="D9D9D9"/>
              <w:right w:val="single" w:sz="4" w:color="D9D9D9"/>
            </w:tcBorders>
          </w:tcPr>
          <w:p>
            <w:pPr>
              <w:spacing w:after="0" w:line="264" w:lineRule="auto"/>
              <w:jc w:val="center"/>
            </w:pPr>
            <w:r>
              <w:rPr>
                <w:rFonts w:ascii="Arial" w:hAnsi="Arial" w:eastAsia="Microsoft YaHei"/>
                <w:b/>
                <w:color w:val="000000"/>
                <w:sz w:val="19"/>
              </w:rPr>
              <w:t>Date-cluster 95% interval</w:t>
            </w:r>
          </w:p>
        </w:tc>
      </w:tr>
      <w:tr>
        <w:trPr>
          <w:cantSplit/>
        </w:trPr>
        <w:tc>
          <w:tcPr>
            <w:tcW w:type="dxa" w:w="4392"/>
            <w:vAlign w:val="center"/>
            <w:tcMar>
              <w:top w:w="65" w:type="dxa"/>
              <w:left w:w="65" w:type="dxa"/>
              <w:bottom w:w="65" w:type="dxa"/>
              <w:right w:w="65" w:type="dxa"/>
            </w:tcMar>
            <w:shd w:fill="FFFFFF"/>
            <w:tcBorders>
              <w:top w:val="single" w:sz="4" w:color="D9D9D9"/>
              <w:left w:val="single" w:sz="4" w:color="D9D9D9"/>
              <w:bottom w:val="single" w:sz="4" w:color="D9D9D9"/>
              <w:right w:val="single" w:sz="4" w:color="D9D9D9"/>
            </w:tcBorders>
          </w:tcPr>
          <w:p>
            <w:pPr>
              <w:spacing w:after="0" w:line="264" w:lineRule="auto"/>
              <w:jc w:val="left"/>
            </w:pPr>
            <w:r>
              <w:rPr>
                <w:rFonts w:ascii="Arial" w:hAnsi="Arial" w:eastAsia="Microsoft YaHei"/>
                <w:b w:val="0"/>
                <w:color w:val="000000"/>
                <w:sz w:val="19"/>
              </w:rPr>
              <w:t>LR36−LR66 Accuracy</w:t>
            </w:r>
          </w:p>
        </w:tc>
        <w:tc>
          <w:tcPr>
            <w:tcW w:type="dxa" w:w="1512"/>
            <w:vAlign w:val="center"/>
            <w:tcMar>
              <w:top w:w="65" w:type="dxa"/>
              <w:left w:w="65" w:type="dxa"/>
              <w:bottom w:w="65" w:type="dxa"/>
              <w:right w:w="65" w:type="dxa"/>
            </w:tcMar>
            <w:shd w:fill="FFFFFF"/>
            <w:tcBorders>
              <w:top w:val="single" w:sz="4" w:color="D9D9D9"/>
              <w:left w:val="single" w:sz="4" w:color="D9D9D9"/>
              <w:bottom w:val="single" w:sz="4" w:color="D9D9D9"/>
              <w:right w:val="single" w:sz="4" w:color="D9D9D9"/>
            </w:tcBorders>
          </w:tcPr>
          <w:p>
            <w:pPr>
              <w:spacing w:after="0" w:line="264" w:lineRule="auto"/>
              <w:jc w:val="center"/>
            </w:pPr>
            <w:r>
              <w:rPr>
                <w:rFonts w:ascii="Arial" w:hAnsi="Arial" w:eastAsia="Microsoft YaHei"/>
                <w:b w:val="0"/>
                <w:color w:val="000000"/>
                <w:sz w:val="19"/>
              </w:rPr>
              <w:t>+0.442043</w:t>
            </w:r>
          </w:p>
        </w:tc>
        <w:tc>
          <w:tcPr>
            <w:tcW w:type="dxa" w:w="3888"/>
            <w:vAlign w:val="center"/>
            <w:tcMar>
              <w:top w:w="65" w:type="dxa"/>
              <w:left w:w="65" w:type="dxa"/>
              <w:bottom w:w="65" w:type="dxa"/>
              <w:right w:w="65" w:type="dxa"/>
            </w:tcMar>
            <w:shd w:fill="FFFFFF"/>
            <w:tcBorders>
              <w:top w:val="single" w:sz="4" w:color="D9D9D9"/>
              <w:left w:val="single" w:sz="4" w:color="D9D9D9"/>
              <w:bottom w:val="single" w:sz="4" w:color="D9D9D9"/>
              <w:right w:val="single" w:sz="4" w:color="D9D9D9"/>
            </w:tcBorders>
          </w:tcPr>
          <w:p>
            <w:pPr>
              <w:spacing w:after="0" w:line="264" w:lineRule="auto"/>
              <w:jc w:val="center"/>
            </w:pPr>
            <w:r>
              <w:rPr>
                <w:rFonts w:ascii="Arial" w:hAnsi="Arial" w:eastAsia="Microsoft YaHei"/>
                <w:b w:val="0"/>
                <w:color w:val="000000"/>
                <w:sz w:val="19"/>
              </w:rPr>
              <w:t>[-0.015691, +0.911474]</w:t>
            </w:r>
          </w:p>
        </w:tc>
      </w:tr>
      <w:tr>
        <w:trPr>
          <w:cantSplit/>
        </w:trPr>
        <w:tc>
          <w:tcPr>
            <w:tcW w:type="dxa" w:w="4392"/>
            <w:vAlign w:val="center"/>
            <w:tcMar>
              <w:top w:w="65" w:type="dxa"/>
              <w:left w:w="65" w:type="dxa"/>
              <w:bottom w:w="65" w:type="dxa"/>
              <w:right w:w="65" w:type="dxa"/>
            </w:tcMar>
            <w:shd w:fill="F4F6F8"/>
            <w:tcBorders>
              <w:top w:val="single" w:sz="4" w:color="D9D9D9"/>
              <w:left w:val="single" w:sz="4" w:color="D9D9D9"/>
              <w:bottom w:val="single" w:sz="4" w:color="D9D9D9"/>
              <w:right w:val="single" w:sz="4" w:color="D9D9D9"/>
            </w:tcBorders>
          </w:tcPr>
          <w:p>
            <w:pPr>
              <w:spacing w:after="0" w:line="264" w:lineRule="auto"/>
              <w:jc w:val="left"/>
            </w:pPr>
            <w:r>
              <w:rPr>
                <w:rFonts w:ascii="Arial" w:hAnsi="Arial" w:eastAsia="Microsoft YaHei"/>
                <w:b w:val="0"/>
                <w:color w:val="000000"/>
                <w:sz w:val="19"/>
              </w:rPr>
              <w:t>LR36−LR66 LL</w:t>
            </w:r>
          </w:p>
        </w:tc>
        <w:tc>
          <w:tcPr>
            <w:tcW w:type="dxa" w:w="1512"/>
            <w:vAlign w:val="center"/>
            <w:tcMar>
              <w:top w:w="65" w:type="dxa"/>
              <w:left w:w="65" w:type="dxa"/>
              <w:bottom w:w="65" w:type="dxa"/>
              <w:right w:w="65" w:type="dxa"/>
            </w:tcMar>
            <w:shd w:fill="F4F6F8"/>
            <w:tcBorders>
              <w:top w:val="single" w:sz="4" w:color="D9D9D9"/>
              <w:left w:val="single" w:sz="4" w:color="D9D9D9"/>
              <w:bottom w:val="single" w:sz="4" w:color="D9D9D9"/>
              <w:right w:val="single" w:sz="4" w:color="D9D9D9"/>
            </w:tcBorders>
          </w:tcPr>
          <w:p>
            <w:pPr>
              <w:spacing w:after="0" w:line="264" w:lineRule="auto"/>
              <w:jc w:val="center"/>
            </w:pPr>
            <w:r>
              <w:rPr>
                <w:rFonts w:ascii="Arial" w:hAnsi="Arial" w:eastAsia="Microsoft YaHei"/>
                <w:b w:val="0"/>
                <w:color w:val="000000"/>
                <w:sz w:val="19"/>
              </w:rPr>
              <w:t>-0.002962</w:t>
            </w:r>
          </w:p>
        </w:tc>
        <w:tc>
          <w:tcPr>
            <w:tcW w:type="dxa" w:w="3888"/>
            <w:vAlign w:val="center"/>
            <w:tcMar>
              <w:top w:w="65" w:type="dxa"/>
              <w:left w:w="65" w:type="dxa"/>
              <w:bottom w:w="65" w:type="dxa"/>
              <w:right w:w="65" w:type="dxa"/>
            </w:tcMar>
            <w:shd w:fill="F4F6F8"/>
            <w:tcBorders>
              <w:top w:val="single" w:sz="4" w:color="D9D9D9"/>
              <w:left w:val="single" w:sz="4" w:color="D9D9D9"/>
              <w:bottom w:val="single" w:sz="4" w:color="D9D9D9"/>
              <w:right w:val="single" w:sz="4" w:color="D9D9D9"/>
            </w:tcBorders>
          </w:tcPr>
          <w:p>
            <w:pPr>
              <w:spacing w:after="0" w:line="264" w:lineRule="auto"/>
              <w:jc w:val="center"/>
            </w:pPr>
            <w:r>
              <w:rPr>
                <w:rFonts w:ascii="Arial" w:hAnsi="Arial" w:eastAsia="Microsoft YaHei"/>
                <w:b w:val="0"/>
                <w:color w:val="000000"/>
                <w:sz w:val="19"/>
              </w:rPr>
              <w:t>[-0.004573, -0.001312]</w:t>
            </w:r>
          </w:p>
        </w:tc>
      </w:tr>
      <w:tr>
        <w:trPr>
          <w:cantSplit/>
        </w:trPr>
        <w:tc>
          <w:tcPr>
            <w:tcW w:type="dxa" w:w="4392"/>
            <w:vAlign w:val="center"/>
            <w:tcMar>
              <w:top w:w="65" w:type="dxa"/>
              <w:left w:w="65" w:type="dxa"/>
              <w:bottom w:w="65" w:type="dxa"/>
              <w:right w:w="65" w:type="dxa"/>
            </w:tcMar>
            <w:shd w:fill="FFFFFF"/>
            <w:tcBorders>
              <w:top w:val="single" w:sz="4" w:color="D9D9D9"/>
              <w:left w:val="single" w:sz="4" w:color="D9D9D9"/>
              <w:bottom w:val="single" w:sz="4" w:color="D9D9D9"/>
              <w:right w:val="single" w:sz="4" w:color="D9D9D9"/>
            </w:tcBorders>
          </w:tcPr>
          <w:p>
            <w:pPr>
              <w:spacing w:after="0" w:line="264" w:lineRule="auto"/>
              <w:jc w:val="left"/>
            </w:pPr>
            <w:r>
              <w:rPr>
                <w:rFonts w:ascii="Arial" w:hAnsi="Arial" w:eastAsia="Microsoft YaHei"/>
                <w:b w:val="0"/>
                <w:color w:val="000000"/>
                <w:sz w:val="19"/>
              </w:rPr>
              <w:t>F36−Poisson NLL</w:t>
            </w:r>
          </w:p>
        </w:tc>
        <w:tc>
          <w:tcPr>
            <w:tcW w:type="dxa" w:w="1512"/>
            <w:vAlign w:val="center"/>
            <w:tcMar>
              <w:top w:w="65" w:type="dxa"/>
              <w:left w:w="65" w:type="dxa"/>
              <w:bottom w:w="65" w:type="dxa"/>
              <w:right w:w="65" w:type="dxa"/>
            </w:tcMar>
            <w:shd w:fill="FFFFFF"/>
            <w:tcBorders>
              <w:top w:val="single" w:sz="4" w:color="D9D9D9"/>
              <w:left w:val="single" w:sz="4" w:color="D9D9D9"/>
              <w:bottom w:val="single" w:sz="4" w:color="D9D9D9"/>
              <w:right w:val="single" w:sz="4" w:color="D9D9D9"/>
            </w:tcBorders>
          </w:tcPr>
          <w:p>
            <w:pPr>
              <w:spacing w:after="0" w:line="264" w:lineRule="auto"/>
              <w:jc w:val="center"/>
            </w:pPr>
            <w:r>
              <w:rPr>
                <w:rFonts w:ascii="Arial" w:hAnsi="Arial" w:eastAsia="Microsoft YaHei"/>
                <w:b w:val="0"/>
                <w:color w:val="000000"/>
                <w:sz w:val="19"/>
              </w:rPr>
              <w:t>-0.040654</w:t>
            </w:r>
          </w:p>
        </w:tc>
        <w:tc>
          <w:tcPr>
            <w:tcW w:type="dxa" w:w="3888"/>
            <w:vAlign w:val="center"/>
            <w:tcMar>
              <w:top w:w="65" w:type="dxa"/>
              <w:left w:w="65" w:type="dxa"/>
              <w:bottom w:w="65" w:type="dxa"/>
              <w:right w:w="65" w:type="dxa"/>
            </w:tcMar>
            <w:shd w:fill="FFFFFF"/>
            <w:tcBorders>
              <w:top w:val="single" w:sz="4" w:color="D9D9D9"/>
              <w:left w:val="single" w:sz="4" w:color="D9D9D9"/>
              <w:bottom w:val="single" w:sz="4" w:color="D9D9D9"/>
              <w:right w:val="single" w:sz="4" w:color="D9D9D9"/>
            </w:tcBorders>
          </w:tcPr>
          <w:p>
            <w:pPr>
              <w:spacing w:after="0" w:line="264" w:lineRule="auto"/>
              <w:jc w:val="center"/>
            </w:pPr>
            <w:r>
              <w:rPr>
                <w:rFonts w:ascii="Arial" w:hAnsi="Arial" w:eastAsia="Microsoft YaHei"/>
                <w:b w:val="0"/>
                <w:color w:val="000000"/>
                <w:sz w:val="19"/>
              </w:rPr>
              <w:t>[-0.047276, -0.034085]</w:t>
            </w:r>
          </w:p>
        </w:tc>
      </w:tr>
      <w:tr>
        <w:trPr>
          <w:cantSplit/>
        </w:trPr>
        <w:tc>
          <w:tcPr>
            <w:tcW w:type="dxa" w:w="4392"/>
            <w:vAlign w:val="center"/>
            <w:tcMar>
              <w:top w:w="65" w:type="dxa"/>
              <w:left w:w="65" w:type="dxa"/>
              <w:bottom w:w="65" w:type="dxa"/>
              <w:right w:w="65" w:type="dxa"/>
            </w:tcMar>
            <w:shd w:fill="F4F6F8"/>
            <w:tcBorders>
              <w:top w:val="single" w:sz="4" w:color="D9D9D9"/>
              <w:left w:val="single" w:sz="4" w:color="D9D9D9"/>
              <w:bottom w:val="single" w:sz="4" w:color="D9D9D9"/>
              <w:right w:val="single" w:sz="4" w:color="D9D9D9"/>
            </w:tcBorders>
          </w:tcPr>
          <w:p>
            <w:pPr>
              <w:spacing w:after="0" w:line="264" w:lineRule="auto"/>
              <w:jc w:val="left"/>
            </w:pPr>
            <w:r>
              <w:rPr>
                <w:rFonts w:ascii="Arial" w:hAnsi="Arial" w:eastAsia="Microsoft YaHei"/>
                <w:b w:val="0"/>
                <w:color w:val="000000"/>
                <w:sz w:val="19"/>
              </w:rPr>
              <w:t>F36−Poisson Exact</w:t>
            </w:r>
          </w:p>
        </w:tc>
        <w:tc>
          <w:tcPr>
            <w:tcW w:type="dxa" w:w="1512"/>
            <w:vAlign w:val="center"/>
            <w:tcMar>
              <w:top w:w="65" w:type="dxa"/>
              <w:left w:w="65" w:type="dxa"/>
              <w:bottom w:w="65" w:type="dxa"/>
              <w:right w:w="65" w:type="dxa"/>
            </w:tcMar>
            <w:shd w:fill="F4F6F8"/>
            <w:tcBorders>
              <w:top w:val="single" w:sz="4" w:color="D9D9D9"/>
              <w:left w:val="single" w:sz="4" w:color="D9D9D9"/>
              <w:bottom w:val="single" w:sz="4" w:color="D9D9D9"/>
              <w:right w:val="single" w:sz="4" w:color="D9D9D9"/>
            </w:tcBorders>
          </w:tcPr>
          <w:p>
            <w:pPr>
              <w:spacing w:after="0" w:line="264" w:lineRule="auto"/>
              <w:jc w:val="center"/>
            </w:pPr>
            <w:r>
              <w:rPr>
                <w:rFonts w:ascii="Arial" w:hAnsi="Arial" w:eastAsia="Microsoft YaHei"/>
                <w:b w:val="0"/>
                <w:color w:val="000000"/>
                <w:sz w:val="19"/>
              </w:rPr>
              <w:t>+0.196464</w:t>
            </w:r>
          </w:p>
        </w:tc>
        <w:tc>
          <w:tcPr>
            <w:tcW w:type="dxa" w:w="3888"/>
            <w:vAlign w:val="center"/>
            <w:tcMar>
              <w:top w:w="65" w:type="dxa"/>
              <w:left w:w="65" w:type="dxa"/>
              <w:bottom w:w="65" w:type="dxa"/>
              <w:right w:w="65" w:type="dxa"/>
            </w:tcMar>
            <w:shd w:fill="F4F6F8"/>
            <w:tcBorders>
              <w:top w:val="single" w:sz="4" w:color="D9D9D9"/>
              <w:left w:val="single" w:sz="4" w:color="D9D9D9"/>
              <w:bottom w:val="single" w:sz="4" w:color="D9D9D9"/>
              <w:right w:val="single" w:sz="4" w:color="D9D9D9"/>
            </w:tcBorders>
          </w:tcPr>
          <w:p>
            <w:pPr>
              <w:spacing w:after="0" w:line="264" w:lineRule="auto"/>
              <w:jc w:val="center"/>
            </w:pPr>
            <w:r>
              <w:rPr>
                <w:rFonts w:ascii="Arial" w:hAnsi="Arial" w:eastAsia="Microsoft YaHei"/>
                <w:b w:val="0"/>
                <w:color w:val="000000"/>
                <w:sz w:val="19"/>
              </w:rPr>
              <w:t>[-0.334860, +0.748135]</w:t>
            </w:r>
          </w:p>
        </w:tc>
      </w:tr>
      <w:tr>
        <w:trPr>
          <w:cantSplit/>
        </w:trPr>
        <w:tc>
          <w:tcPr>
            <w:tcW w:type="dxa" w:w="4392"/>
            <w:vAlign w:val="center"/>
            <w:tcMar>
              <w:top w:w="65" w:type="dxa"/>
              <w:left w:w="65" w:type="dxa"/>
              <w:bottom w:w="65" w:type="dxa"/>
              <w:right w:w="65" w:type="dxa"/>
            </w:tcMar>
            <w:shd w:fill="FFFFFF"/>
            <w:tcBorders>
              <w:top w:val="single" w:sz="4" w:color="D9D9D9"/>
              <w:left w:val="single" w:sz="4" w:color="D9D9D9"/>
              <w:bottom w:val="single" w:sz="4" w:color="D9D9D9"/>
              <w:right w:val="single" w:sz="4" w:color="D9D9D9"/>
            </w:tcBorders>
          </w:tcPr>
          <w:p>
            <w:pPr>
              <w:spacing w:after="0" w:line="264" w:lineRule="auto"/>
              <w:jc w:val="left"/>
            </w:pPr>
            <w:r>
              <w:rPr>
                <w:rFonts w:ascii="Arial" w:hAnsi="Arial" w:eastAsia="Microsoft YaHei"/>
                <w:b w:val="0"/>
                <w:color w:val="000000"/>
                <w:sz w:val="19"/>
              </w:rPr>
              <w:t>F36−F66 NLL</w:t>
            </w:r>
          </w:p>
        </w:tc>
        <w:tc>
          <w:tcPr>
            <w:tcW w:type="dxa" w:w="1512"/>
            <w:vAlign w:val="center"/>
            <w:tcMar>
              <w:top w:w="65" w:type="dxa"/>
              <w:left w:w="65" w:type="dxa"/>
              <w:bottom w:w="65" w:type="dxa"/>
              <w:right w:w="65" w:type="dxa"/>
            </w:tcMar>
            <w:shd w:fill="FFFFFF"/>
            <w:tcBorders>
              <w:top w:val="single" w:sz="4" w:color="D9D9D9"/>
              <w:left w:val="single" w:sz="4" w:color="D9D9D9"/>
              <w:bottom w:val="single" w:sz="4" w:color="D9D9D9"/>
              <w:right w:val="single" w:sz="4" w:color="D9D9D9"/>
            </w:tcBorders>
          </w:tcPr>
          <w:p>
            <w:pPr>
              <w:spacing w:after="0" w:line="264" w:lineRule="auto"/>
              <w:jc w:val="center"/>
            </w:pPr>
            <w:r>
              <w:rPr>
                <w:rFonts w:ascii="Arial" w:hAnsi="Arial" w:eastAsia="Microsoft YaHei"/>
                <w:b w:val="0"/>
                <w:color w:val="000000"/>
                <w:sz w:val="19"/>
              </w:rPr>
              <w:t>-0.002962</w:t>
            </w:r>
          </w:p>
        </w:tc>
        <w:tc>
          <w:tcPr>
            <w:tcW w:type="dxa" w:w="3888"/>
            <w:vAlign w:val="center"/>
            <w:tcMar>
              <w:top w:w="65" w:type="dxa"/>
              <w:left w:w="65" w:type="dxa"/>
              <w:bottom w:w="65" w:type="dxa"/>
              <w:right w:w="65" w:type="dxa"/>
            </w:tcMar>
            <w:shd w:fill="FFFFFF"/>
            <w:tcBorders>
              <w:top w:val="single" w:sz="4" w:color="D9D9D9"/>
              <w:left w:val="single" w:sz="4" w:color="D9D9D9"/>
              <w:bottom w:val="single" w:sz="4" w:color="D9D9D9"/>
              <w:right w:val="single" w:sz="4" w:color="D9D9D9"/>
            </w:tcBorders>
          </w:tcPr>
          <w:p>
            <w:pPr>
              <w:spacing w:after="0" w:line="264" w:lineRule="auto"/>
              <w:jc w:val="center"/>
            </w:pPr>
            <w:r>
              <w:rPr>
                <w:rFonts w:ascii="Arial" w:hAnsi="Arial" w:eastAsia="Microsoft YaHei"/>
                <w:b w:val="0"/>
                <w:color w:val="000000"/>
                <w:sz w:val="19"/>
              </w:rPr>
              <w:t>[-0.004573, -0.001312]</w:t>
            </w:r>
          </w:p>
        </w:tc>
      </w:tr>
      <w:tr>
        <w:trPr>
          <w:cantSplit/>
        </w:trPr>
        <w:tc>
          <w:tcPr>
            <w:tcW w:type="dxa" w:w="4392"/>
            <w:vAlign w:val="center"/>
            <w:tcMar>
              <w:top w:w="65" w:type="dxa"/>
              <w:left w:w="65" w:type="dxa"/>
              <w:bottom w:w="65" w:type="dxa"/>
              <w:right w:w="65" w:type="dxa"/>
            </w:tcMar>
            <w:shd w:fill="F4F6F8"/>
            <w:tcBorders>
              <w:top w:val="single" w:sz="4" w:color="D9D9D9"/>
              <w:left w:val="single" w:sz="4" w:color="D9D9D9"/>
              <w:bottom w:val="single" w:sz="4" w:color="D9D9D9"/>
              <w:right w:val="single" w:sz="4" w:color="D9D9D9"/>
            </w:tcBorders>
          </w:tcPr>
          <w:p>
            <w:pPr>
              <w:spacing w:after="0" w:line="264" w:lineRule="auto"/>
              <w:jc w:val="left"/>
            </w:pPr>
            <w:r>
              <w:rPr>
                <w:rFonts w:ascii="Arial" w:hAnsi="Arial" w:eastAsia="Microsoft YaHei"/>
                <w:b w:val="0"/>
                <w:color w:val="000000"/>
                <w:sz w:val="19"/>
              </w:rPr>
              <w:t>F36−F66 Exact</w:t>
            </w:r>
          </w:p>
        </w:tc>
        <w:tc>
          <w:tcPr>
            <w:tcW w:type="dxa" w:w="1512"/>
            <w:vAlign w:val="center"/>
            <w:tcMar>
              <w:top w:w="65" w:type="dxa"/>
              <w:left w:w="65" w:type="dxa"/>
              <w:bottom w:w="65" w:type="dxa"/>
              <w:right w:w="65" w:type="dxa"/>
            </w:tcMar>
            <w:shd w:fill="F4F6F8"/>
            <w:tcBorders>
              <w:top w:val="single" w:sz="4" w:color="D9D9D9"/>
              <w:left w:val="single" w:sz="4" w:color="D9D9D9"/>
              <w:bottom w:val="single" w:sz="4" w:color="D9D9D9"/>
              <w:right w:val="single" w:sz="4" w:color="D9D9D9"/>
            </w:tcBorders>
          </w:tcPr>
          <w:p>
            <w:pPr>
              <w:spacing w:after="0" w:line="264" w:lineRule="auto"/>
              <w:jc w:val="center"/>
            </w:pPr>
            <w:r>
              <w:rPr>
                <w:rFonts w:ascii="Arial" w:hAnsi="Arial" w:eastAsia="Microsoft YaHei"/>
                <w:b w:val="0"/>
                <w:color w:val="000000"/>
                <w:sz w:val="19"/>
              </w:rPr>
              <w:t>-0.130976</w:t>
            </w:r>
          </w:p>
        </w:tc>
        <w:tc>
          <w:tcPr>
            <w:tcW w:type="dxa" w:w="3888"/>
            <w:vAlign w:val="center"/>
            <w:tcMar>
              <w:top w:w="65" w:type="dxa"/>
              <w:left w:w="65" w:type="dxa"/>
              <w:bottom w:w="65" w:type="dxa"/>
              <w:right w:w="65" w:type="dxa"/>
            </w:tcMar>
            <w:shd w:fill="F4F6F8"/>
            <w:tcBorders>
              <w:top w:val="single" w:sz="4" w:color="D9D9D9"/>
              <w:left w:val="single" w:sz="4" w:color="D9D9D9"/>
              <w:bottom w:val="single" w:sz="4" w:color="D9D9D9"/>
              <w:right w:val="single" w:sz="4" w:color="D9D9D9"/>
            </w:tcBorders>
          </w:tcPr>
          <w:p>
            <w:pPr>
              <w:spacing w:after="0" w:line="264" w:lineRule="auto"/>
              <w:jc w:val="center"/>
            </w:pPr>
            <w:r>
              <w:rPr>
                <w:rFonts w:ascii="Arial" w:hAnsi="Arial" w:eastAsia="Microsoft YaHei"/>
                <w:b w:val="0"/>
                <w:color w:val="000000"/>
                <w:sz w:val="19"/>
              </w:rPr>
              <w:t>[-0.444661, +0.192086]</w:t>
            </w:r>
          </w:p>
        </w:tc>
      </w:tr>
    </w:tbl>
    <w:p>
      <w:pPr>
        <w:spacing w:after="20" w:line="96" w:lineRule="auto"/>
      </w:pPr>
    </w:p>
    <w:p>
      <w:pPr>
        <w:widowControl/>
      </w:pPr>
      <w:r>
        <w:rPr>
          <w:rFonts w:ascii="Arial" w:hAnsi="Arial" w:eastAsia="Microsoft YaHei"/>
          <w:b w:val="0"/>
          <w:color w:val="000000"/>
          <w:sz w:val="22"/>
        </w:rPr>
        <w:t>For every match, the score-NLL change equals the outcome-LL change. Conditional score structure within an outcome region is unchanged, so this is not independent evidence of learning finer score structure. Intervals condition on fixed predictions and omit full selection and refitting variation. Whole-season sensitivity intervals are also saved, but only six season clusters are available.</w:t>
      </w:r>
    </w:p>
    <w:p>
      <w:r>
        <w:br w:type="page"/>
      </w:r>
    </w:p>
    <w:p>
      <w:pPr>
        <w:pStyle w:val="Heading1"/>
      </w:pPr>
      <w:r>
        <w:rPr>
          <w:rFonts w:ascii="Arial" w:hAnsi="Arial" w:eastAsia="Microsoft YaHei"/>
          <w:b/>
          <w:color w:val="000000"/>
          <w:sz w:val="30"/>
        </w:rPr>
        <w:t>Earlier Work and Corrected Claims</w:t>
      </w:r>
    </w:p>
    <w:p>
      <w:pPr>
        <w:pStyle w:val="Heading2"/>
      </w:pPr>
      <w:r>
        <w:rPr>
          <w:rFonts w:ascii="Arial" w:hAnsi="Arial" w:eastAsia="Microsoft YaHei"/>
          <w:b/>
          <w:color w:val="000000"/>
          <w:sz w:val="24"/>
        </w:rPr>
        <w:t>Leakage and obsolete results</w:t>
      </w:r>
    </w:p>
    <w:p>
      <w:pPr>
        <w:widowControl/>
      </w:pPr>
      <w:r>
        <w:rPr>
          <w:rFonts w:ascii="Arial" w:hAnsi="Arial" w:eastAsia="Microsoft YaHei"/>
          <w:b w:val="0"/>
          <w:color w:val="000000"/>
          <w:sz w:val="22"/>
        </w:rPr>
        <w:t>An earlier pipeline admitted current-match shots, shots on target, fouls, corners and cards. Historical Track A accuracy of 58.60%, high ROI, Track B accuracy of 68.42% and a deep-network draw advantage are not current conclusions. The earlier cleaned 50-input pipeline is distinct from later clean66 engineering. A 67-column implementation duplicated league level and was subsequently corrected.</w:t>
      </w:r>
    </w:p>
    <w:p>
      <w:pPr>
        <w:pStyle w:val="Heading2"/>
      </w:pPr>
      <w:r>
        <w:rPr>
          <w:rFonts w:ascii="Arial" w:hAnsi="Arial" w:eastAsia="Microsoft YaHei"/>
          <w:b/>
          <w:color w:val="000000"/>
          <w:sz w:val="24"/>
        </w:rPr>
        <w:t>Roles of supporting branches</w:t>
      </w:r>
    </w:p>
    <w:p>
      <w:pPr>
        <w:widowControl/>
      </w:pPr>
      <w:r>
        <w:rPr>
          <w:rFonts w:ascii="Arial" w:hAnsi="Arial" w:eastAsia="Microsoft YaHei"/>
          <w:b w:val="0"/>
          <w:color w:val="000000"/>
          <w:sz w:val="22"/>
        </w:rPr>
        <w:t>Half-time inputs belong to in-play comparisons. The NN-inspired window and relative-feature branch recorded 45.18%, 44.70% and 45.06% within its own protocol without improving its baseline. This does not establish that every neural method is ineffective.</w:t>
      </w:r>
    </w:p>
    <w:p>
      <w:pPr>
        <w:widowControl/>
      </w:pPr>
      <w:r>
        <w:rPr>
          <w:rFonts w:ascii="Arial" w:hAnsi="Arial" w:eastAsia="Microsoft YaHei"/>
          <w:b w:val="0"/>
          <w:color w:val="000000"/>
          <w:sz w:val="22"/>
        </w:rPr>
        <w:t>FootyStats Track B is an external-data extension. Historical clean 58-feature walk-forward achieved 50.21% versus a 56.32% closing benchmark on 1,900 matches. These figures are not part of English4's main comparison. Earlier betting returns do not establish profitability for the new reduced model or fusion; O/U 2.5 is outside the current core task.</w:t>
      </w:r>
    </w:p>
    <w:p>
      <w:pPr>
        <w:widowControl/>
      </w:pPr>
      <w:r>
        <w:rPr>
          <w:rFonts w:ascii="Arial" w:hAnsi="Arial" w:eastAsia="Microsoft YaHei"/>
          <w:b w:val="0"/>
          <w:color w:val="000000"/>
          <w:sz w:val="22"/>
        </w:rPr>
        <w:t>The Agent tools, retrieval and explanation prototype is a system layer, with four recorded scenario checks rather than a large-scale user or forecasting evaluation.</w:t>
      </w:r>
    </w:p>
    <w:p>
      <w:pPr>
        <w:widowControl/>
      </w:pPr>
      <w:r>
        <w:rPr>
          <w:rFonts w:ascii="Arial" w:hAnsi="Arial" w:eastAsia="Microsoft YaHei"/>
          <w:b w:val="0"/>
          <w:color w:val="000000"/>
          <w:sz w:val="22"/>
        </w:rPr>
        <w:t>Old Poisson accuracy of 42.00% and exact accuracy of 11.80% use older season/support conventions. The new main comparison uses 42.0187% and 11.8533%. Old rounded-mode within-one rates must not be compared directly with current expectation-based rates.</w:t>
      </w:r>
    </w:p>
    <w:p>
      <w:r>
        <w:br w:type="page"/>
      </w:r>
    </w:p>
    <w:p>
      <w:pPr>
        <w:pStyle w:val="Heading1"/>
      </w:pPr>
      <w:r>
        <w:rPr>
          <w:rFonts w:ascii="Arial" w:hAnsi="Arial" w:eastAsia="Microsoft YaHei"/>
          <w:b/>
          <w:color w:val="000000"/>
          <w:sz w:val="30"/>
        </w:rPr>
        <w:t>Thesis Structure and Evidence Index</w:t>
      </w:r>
    </w:p>
    <w:p>
      <w:pPr>
        <w:widowControl/>
      </w:pPr>
      <w:r>
        <w:rPr>
          <w:rFonts w:ascii="Arial" w:hAnsi="Arial" w:eastAsia="Microsoft YaHei"/>
          <w:b w:val="0"/>
          <w:color w:val="000000"/>
          <w:sz w:val="22"/>
        </w:rPr>
        <w:t>Suggested title: Probabilistic Football Prediction by Combining Logistic Regression and Poisson Distributions.</w:t>
      </w:r>
    </w:p>
    <w:p>
      <w:pPr>
        <w:widowControl/>
      </w:pPr>
      <w:r>
        <w:rPr>
          <w:rFonts w:ascii="Arial" w:hAnsi="Arial" w:eastAsia="Microsoft YaHei"/>
          <w:b w:val="0"/>
          <w:color w:val="000000"/>
          <w:sz w:val="22"/>
        </w:rPr>
        <w:t>1. Introduction asks whether models can predict football, defining probability prediction and information timing.</w:t>
      </w:r>
    </w:p>
    <w:p>
      <w:pPr>
        <w:widowControl/>
      </w:pPr>
      <w:r>
        <w:rPr>
          <w:rFonts w:ascii="Arial" w:hAnsi="Arial" w:eastAsia="Microsoft YaHei"/>
          <w:b w:val="0"/>
          <w:color w:val="000000"/>
          <w:sz w:val="22"/>
        </w:rPr>
        <w:t>2. Literature compares ratings, machine learning and Poisson methods, motivating a combined approach.</w:t>
      </w:r>
    </w:p>
    <w:p>
      <w:pPr>
        <w:widowControl/>
      </w:pPr>
      <w:r>
        <w:rPr>
          <w:rFonts w:ascii="Arial" w:hAnsi="Arial" w:eastAsia="Microsoft YaHei"/>
          <w:b w:val="0"/>
          <w:color w:val="000000"/>
          <w:sz w:val="22"/>
        </w:rPr>
        <w:t>3. Methodology explains LR selection, feature engineering, Poisson scores and outcome-region integration.</w:t>
      </w:r>
    </w:p>
    <w:p>
      <w:pPr>
        <w:widowControl/>
      </w:pPr>
      <w:r>
        <w:rPr>
          <w:rFonts w:ascii="Arial" w:hAnsi="Arial" w:eastAsia="Microsoft YaHei"/>
          <w:b w:val="0"/>
          <w:color w:val="000000"/>
          <w:sz w:val="22"/>
        </w:rPr>
        <w:t>4. Experiments define seasonal walk-forward and compare original and reduced LR with three score models.</w:t>
      </w:r>
    </w:p>
    <w:p>
      <w:pPr>
        <w:widowControl/>
      </w:pPr>
      <w:r>
        <w:rPr>
          <w:rFonts w:ascii="Arial" w:hAnsi="Arial" w:eastAsia="Microsoft YaHei"/>
          <w:b w:val="0"/>
          <w:color w:val="000000"/>
          <w:sz w:val="22"/>
        </w:rPr>
        <w:t>5. Discussion separates probability scores, point accuracy, the NLL identity and limits on future generalization.</w:t>
      </w:r>
    </w:p>
    <w:p>
      <w:pPr>
        <w:widowControl/>
      </w:pPr>
      <w:r>
        <w:rPr>
          <w:rFonts w:ascii="Arial" w:hAnsi="Arial" w:eastAsia="Microsoft YaHei"/>
          <w:b w:val="0"/>
          <w:color w:val="000000"/>
          <w:sz w:val="22"/>
        </w:rPr>
        <w:t>6. Conclusion answers the questions and defines contributions and future independent validation.</w:t>
      </w:r>
    </w:p>
    <w:p>
      <w:pPr>
        <w:widowControl/>
      </w:pPr>
      <w:r>
        <w:rPr>
          <w:rFonts w:ascii="Arial" w:hAnsi="Arial" w:eastAsia="Microsoft YaHei"/>
          <w:b w:val="0"/>
          <w:color w:val="000000"/>
          <w:sz w:val="22"/>
        </w:rPr>
        <w:t>Contributions are corrected information and season boundaries, a controlled feature-reduction comparison, separation of probability quality from classification and score accuracy, and audited outcome-region reweighting. Do not claim globally optimal 36 inputs, six independent post-selection holdouts, uniform improvement or stable market superiority.</w:t>
      </w:r>
    </w:p>
    <w:tbl>
      <w:tblPr>
        <w:tblW w:type="auto" w:w="0"/>
        <w:jc w:val="center"/>
        <w:tblLayout w:type="fixed"/>
        <w:tblLook w:firstColumn="1" w:firstRow="1" w:lastColumn="0" w:lastRow="0" w:noHBand="0" w:noVBand="1" w:val="04A0"/>
      </w:tblPr>
      <w:tblGrid>
        <w:gridCol w:w="2088"/>
        <w:gridCol w:w="7704"/>
      </w:tblGrid>
      <w:tr>
        <w:trPr>
          <w:cantSplit/>
          <w:tblHeader/>
        </w:trPr>
        <w:tc>
          <w:tcPr>
            <w:tcW w:type="dxa" w:w="2088"/>
            <w:vAlign w:val="center"/>
            <w:tcMar>
              <w:top w:w="65" w:type="dxa"/>
              <w:left w:w="65" w:type="dxa"/>
              <w:bottom w:w="65" w:type="dxa"/>
              <w:right w:w="65" w:type="dxa"/>
            </w:tcMar>
            <w:shd w:fill="DCE6EF"/>
            <w:tcBorders>
              <w:top w:val="single" w:sz="4" w:color="D9D9D9"/>
              <w:left w:val="single" w:sz="4" w:color="D9D9D9"/>
              <w:bottom w:val="single" w:sz="4" w:color="D9D9D9"/>
              <w:right w:val="single" w:sz="4" w:color="D9D9D9"/>
            </w:tcBorders>
          </w:tcPr>
          <w:p>
            <w:pPr>
              <w:spacing w:after="0" w:line="264" w:lineRule="auto"/>
              <w:jc w:val="left"/>
            </w:pPr>
            <w:r>
              <w:rPr>
                <w:rFonts w:ascii="Arial" w:hAnsi="Arial" w:eastAsia="Microsoft YaHei"/>
                <w:b/>
                <w:color w:val="000000"/>
                <w:sz w:val="19"/>
              </w:rPr>
              <w:t>Evidence</w:t>
            </w:r>
          </w:p>
        </w:tc>
        <w:tc>
          <w:tcPr>
            <w:tcW w:type="dxa" w:w="7704"/>
            <w:vAlign w:val="center"/>
            <w:tcMar>
              <w:top w:w="65" w:type="dxa"/>
              <w:left w:w="65" w:type="dxa"/>
              <w:bottom w:w="65" w:type="dxa"/>
              <w:right w:w="65" w:type="dxa"/>
            </w:tcMar>
            <w:shd w:fill="DCE6EF"/>
            <w:tcBorders>
              <w:top w:val="single" w:sz="4" w:color="D9D9D9"/>
              <w:left w:val="single" w:sz="4" w:color="D9D9D9"/>
              <w:bottom w:val="single" w:sz="4" w:color="D9D9D9"/>
              <w:right w:val="single" w:sz="4" w:color="D9D9D9"/>
            </w:tcBorders>
          </w:tcPr>
          <w:p>
            <w:pPr>
              <w:spacing w:after="0" w:line="264" w:lineRule="auto"/>
              <w:jc w:val="left"/>
            </w:pPr>
            <w:r>
              <w:rPr>
                <w:rFonts w:ascii="Arial" w:hAnsi="Arial" w:eastAsia="Microsoft YaHei"/>
                <w:b/>
                <w:color w:val="000000"/>
                <w:sz w:val="19"/>
              </w:rPr>
              <w:t>Path</w:t>
            </w:r>
          </w:p>
        </w:tc>
      </w:tr>
      <w:tr>
        <w:trPr>
          <w:cantSplit/>
        </w:trPr>
        <w:tc>
          <w:tcPr>
            <w:tcW w:type="dxa" w:w="2088"/>
            <w:vAlign w:val="center"/>
            <w:tcMar>
              <w:top w:w="65" w:type="dxa"/>
              <w:left w:w="65" w:type="dxa"/>
              <w:bottom w:w="65" w:type="dxa"/>
              <w:right w:w="65" w:type="dxa"/>
            </w:tcMar>
            <w:shd w:fill="FFFFFF"/>
            <w:tcBorders>
              <w:top w:val="single" w:sz="4" w:color="D9D9D9"/>
              <w:left w:val="single" w:sz="4" w:color="D9D9D9"/>
              <w:bottom w:val="single" w:sz="4" w:color="D9D9D9"/>
              <w:right w:val="single" w:sz="4" w:color="D9D9D9"/>
            </w:tcBorders>
          </w:tcPr>
          <w:p>
            <w:pPr>
              <w:spacing w:after="0" w:line="264" w:lineRule="auto"/>
              <w:jc w:val="left"/>
            </w:pPr>
            <w:r>
              <w:rPr>
                <w:rFonts w:ascii="Arial" w:hAnsi="Arial" w:eastAsia="Microsoft YaHei"/>
                <w:b w:val="0"/>
                <w:color w:val="000000"/>
                <w:sz w:val="19"/>
              </w:rPr>
              <w:t>New fixed subset</w:t>
            </w:r>
          </w:p>
        </w:tc>
        <w:tc>
          <w:tcPr>
            <w:tcW w:type="dxa" w:w="7704"/>
            <w:vAlign w:val="center"/>
            <w:tcMar>
              <w:top w:w="65" w:type="dxa"/>
              <w:left w:w="65" w:type="dxa"/>
              <w:bottom w:w="65" w:type="dxa"/>
              <w:right w:w="65" w:type="dxa"/>
            </w:tcMar>
            <w:shd w:fill="FFFFFF"/>
            <w:tcBorders>
              <w:top w:val="single" w:sz="4" w:color="D9D9D9"/>
              <w:left w:val="single" w:sz="4" w:color="D9D9D9"/>
              <w:bottom w:val="single" w:sz="4" w:color="D9D9D9"/>
              <w:right w:val="single" w:sz="4" w:color="D9D9D9"/>
            </w:tcBorders>
          </w:tcPr>
          <w:p>
            <w:pPr>
              <w:spacing w:after="0" w:line="264" w:lineRule="auto"/>
              <w:jc w:val="left"/>
            </w:pPr>
            <w:r>
              <w:rPr>
                <w:rFonts w:ascii="Arial" w:hAnsi="Arial" w:eastAsia="Microsoft YaHei"/>
                <w:b w:val="0"/>
                <w:color w:val="000000"/>
                <w:sz w:val="19"/>
              </w:rPr>
              <w:t>experiments/feature_rebuild_poisson_20261015/</w:t>
            </w:r>
          </w:p>
        </w:tc>
      </w:tr>
      <w:tr>
        <w:trPr>
          <w:cantSplit/>
        </w:trPr>
        <w:tc>
          <w:tcPr>
            <w:tcW w:type="dxa" w:w="2088"/>
            <w:vAlign w:val="center"/>
            <w:tcMar>
              <w:top w:w="65" w:type="dxa"/>
              <w:left w:w="65" w:type="dxa"/>
              <w:bottom w:w="65" w:type="dxa"/>
              <w:right w:w="65" w:type="dxa"/>
            </w:tcMar>
            <w:shd w:fill="F4F6F8"/>
            <w:tcBorders>
              <w:top w:val="single" w:sz="4" w:color="D9D9D9"/>
              <w:left w:val="single" w:sz="4" w:color="D9D9D9"/>
              <w:bottom w:val="single" w:sz="4" w:color="D9D9D9"/>
              <w:right w:val="single" w:sz="4" w:color="D9D9D9"/>
            </w:tcBorders>
          </w:tcPr>
          <w:p>
            <w:pPr>
              <w:spacing w:after="0" w:line="264" w:lineRule="auto"/>
              <w:jc w:val="left"/>
            </w:pPr>
            <w:r>
              <w:rPr>
                <w:rFonts w:ascii="Arial" w:hAnsi="Arial" w:eastAsia="Microsoft YaHei"/>
                <w:b w:val="0"/>
                <w:color w:val="000000"/>
                <w:sz w:val="19"/>
              </w:rPr>
              <w:t>Fixed66 completion</w:t>
            </w:r>
          </w:p>
        </w:tc>
        <w:tc>
          <w:tcPr>
            <w:tcW w:type="dxa" w:w="7704"/>
            <w:vAlign w:val="center"/>
            <w:tcMar>
              <w:top w:w="65" w:type="dxa"/>
              <w:left w:w="65" w:type="dxa"/>
              <w:bottom w:w="65" w:type="dxa"/>
              <w:right w:w="65" w:type="dxa"/>
            </w:tcMar>
            <w:shd w:fill="F4F6F8"/>
            <w:tcBorders>
              <w:top w:val="single" w:sz="4" w:color="D9D9D9"/>
              <w:left w:val="single" w:sz="4" w:color="D9D9D9"/>
              <w:bottom w:val="single" w:sz="4" w:color="D9D9D9"/>
              <w:right w:val="single" w:sz="4" w:color="D9D9D9"/>
            </w:tcBorders>
          </w:tcPr>
          <w:p>
            <w:pPr>
              <w:spacing w:after="0" w:line="264" w:lineRule="auto"/>
              <w:jc w:val="left"/>
            </w:pPr>
            <w:r>
              <w:rPr>
                <w:rFonts w:ascii="Arial" w:hAnsi="Arial" w:eastAsia="Microsoft YaHei"/>
                <w:b w:val="0"/>
                <w:color w:val="000000"/>
                <w:sz w:val="19"/>
              </w:rPr>
              <w:t>experiments/lr_poisson_reweight_20261012/</w:t>
            </w:r>
          </w:p>
        </w:tc>
      </w:tr>
      <w:tr>
        <w:trPr>
          <w:cantSplit/>
        </w:trPr>
        <w:tc>
          <w:tcPr>
            <w:tcW w:type="dxa" w:w="2088"/>
            <w:vAlign w:val="center"/>
            <w:tcMar>
              <w:top w:w="65" w:type="dxa"/>
              <w:left w:w="65" w:type="dxa"/>
              <w:bottom w:w="65" w:type="dxa"/>
              <w:right w:w="65" w:type="dxa"/>
            </w:tcMar>
            <w:shd w:fill="FFFFFF"/>
            <w:tcBorders>
              <w:top w:val="single" w:sz="4" w:color="D9D9D9"/>
              <w:left w:val="single" w:sz="4" w:color="D9D9D9"/>
              <w:bottom w:val="single" w:sz="4" w:color="D9D9D9"/>
              <w:right w:val="single" w:sz="4" w:color="D9D9D9"/>
            </w:tcBorders>
          </w:tcPr>
          <w:p>
            <w:pPr>
              <w:spacing w:after="0" w:line="264" w:lineRule="auto"/>
              <w:jc w:val="left"/>
            </w:pPr>
            <w:r>
              <w:rPr>
                <w:rFonts w:ascii="Arial" w:hAnsi="Arial" w:eastAsia="Microsoft YaHei"/>
                <w:b w:val="0"/>
                <w:color w:val="000000"/>
                <w:sz w:val="19"/>
              </w:rPr>
              <w:t>Leakage review</w:t>
            </w:r>
          </w:p>
        </w:tc>
        <w:tc>
          <w:tcPr>
            <w:tcW w:type="dxa" w:w="7704"/>
            <w:vAlign w:val="center"/>
            <w:tcMar>
              <w:top w:w="65" w:type="dxa"/>
              <w:left w:w="65" w:type="dxa"/>
              <w:bottom w:w="65" w:type="dxa"/>
              <w:right w:w="65" w:type="dxa"/>
            </w:tcMar>
            <w:shd w:fill="FFFFFF"/>
            <w:tcBorders>
              <w:top w:val="single" w:sz="4" w:color="D9D9D9"/>
              <w:left w:val="single" w:sz="4" w:color="D9D9D9"/>
              <w:bottom w:val="single" w:sz="4" w:color="D9D9D9"/>
              <w:right w:val="single" w:sz="4" w:color="D9D9D9"/>
            </w:tcBorders>
          </w:tcPr>
          <w:p>
            <w:pPr>
              <w:spacing w:after="0" w:line="264" w:lineRule="auto"/>
              <w:jc w:val="left"/>
            </w:pPr>
            <w:r>
              <w:rPr>
                <w:rFonts w:ascii="Arial" w:hAnsi="Arial" w:eastAsia="Microsoft YaHei"/>
                <w:b w:val="0"/>
                <w:color w:val="000000"/>
                <w:sz w:val="19"/>
              </w:rPr>
              <w:t>docs/leakage_clean_review.md</w:t>
            </w:r>
          </w:p>
        </w:tc>
      </w:tr>
      <w:tr>
        <w:trPr>
          <w:cantSplit/>
        </w:trPr>
        <w:tc>
          <w:tcPr>
            <w:tcW w:type="dxa" w:w="2088"/>
            <w:vAlign w:val="center"/>
            <w:tcMar>
              <w:top w:w="65" w:type="dxa"/>
              <w:left w:w="65" w:type="dxa"/>
              <w:bottom w:w="65" w:type="dxa"/>
              <w:right w:w="65" w:type="dxa"/>
            </w:tcMar>
            <w:shd w:fill="F4F6F8"/>
            <w:tcBorders>
              <w:top w:val="single" w:sz="4" w:color="D9D9D9"/>
              <w:left w:val="single" w:sz="4" w:color="D9D9D9"/>
              <w:bottom w:val="single" w:sz="4" w:color="D9D9D9"/>
              <w:right w:val="single" w:sz="4" w:color="D9D9D9"/>
            </w:tcBorders>
          </w:tcPr>
          <w:p>
            <w:pPr>
              <w:spacing w:after="0" w:line="264" w:lineRule="auto"/>
              <w:jc w:val="left"/>
            </w:pPr>
            <w:r>
              <w:rPr>
                <w:rFonts w:ascii="Arial" w:hAnsi="Arial" w:eastAsia="Microsoft YaHei"/>
                <w:b w:val="0"/>
                <w:color w:val="000000"/>
                <w:sz w:val="19"/>
              </w:rPr>
              <w:t>Full thesis notes</w:t>
            </w:r>
          </w:p>
        </w:tc>
        <w:tc>
          <w:tcPr>
            <w:tcW w:type="dxa" w:w="7704"/>
            <w:vAlign w:val="center"/>
            <w:tcMar>
              <w:top w:w="65" w:type="dxa"/>
              <w:left w:w="65" w:type="dxa"/>
              <w:bottom w:w="65" w:type="dxa"/>
              <w:right w:w="65" w:type="dxa"/>
            </w:tcMar>
            <w:shd w:fill="F4F6F8"/>
            <w:tcBorders>
              <w:top w:val="single" w:sz="4" w:color="D9D9D9"/>
              <w:left w:val="single" w:sz="4" w:color="D9D9D9"/>
              <w:bottom w:val="single" w:sz="4" w:color="D9D9D9"/>
              <w:right w:val="single" w:sz="4" w:color="D9D9D9"/>
            </w:tcBorders>
          </w:tcPr>
          <w:p>
            <w:pPr>
              <w:spacing w:after="0" w:line="264" w:lineRule="auto"/>
              <w:jc w:val="left"/>
            </w:pPr>
            <w:r>
              <w:rPr>
                <w:rFonts w:ascii="Arial" w:hAnsi="Arial" w:eastAsia="Microsoft YaHei"/>
                <w:b w:val="0"/>
                <w:color w:val="000000"/>
                <w:sz w:val="19"/>
              </w:rPr>
              <w:t>论文点.md</w:t>
            </w:r>
          </w:p>
        </w:tc>
      </w:tr>
    </w:tbl>
    <w:p>
      <w:pPr>
        <w:spacing w:after="20" w:line="96" w:lineRule="auto"/>
      </w:pPr>
    </w:p>
    <w:p>
      <w:pPr>
        <w:widowControl/>
      </w:pPr>
      <w:r>
        <w:rPr>
          <w:rFonts w:ascii="Arial" w:hAnsi="Arial" w:eastAsia="Microsoft YaHei"/>
          <w:b w:val="0"/>
          <w:color w:val="000000"/>
          <w:sz w:val="22"/>
        </w:rPr>
        <w:t>Independent checks verified 28 CSV files, reloaded 12 LR models and reconstructed 36,648 score matrices. Five new protocol tests passed. Both overview languages, thesis notes and README use the same result sources. Full methods, match-level predictions and reproduction commands are in the experiment directory.</w:t>
      </w:r>
    </w:p>
    <w:sectPr w:rsidR="00FC693F" w:rsidRPr="0006063C" w:rsidSect="00034616">
      <w:footerReference w:type="default" r:id="rId9"/>
      <w:pgSz w:w="12240" w:h="15840"/>
      <w:pgMar w:top="893" w:right="1181" w:bottom="893"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40"/>
    </w:pPr>
    <w:rPr>
      <w:rFonts w:ascii="Arial" w:hAnsi="Arial" w:eastAsia="Microsoft YaHe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40"/>
      <w:outlineLvl w:val="0"/>
    </w:pPr>
    <w:rPr>
      <w:rFonts w:asciiTheme="majorHAnsi" w:eastAsiaTheme="majorEastAsia" w:hAnsiTheme="majorHAnsi" w:cstheme="majorBidi" w:ascii="Arial" w:hAnsi="Arial" w:eastAsia="Microsoft YaHei"/>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160" w:after="140"/>
      <w:outlineLvl w:val="1"/>
    </w:pPr>
    <w:rPr>
      <w:rFonts w:asciiTheme="majorHAnsi" w:eastAsiaTheme="majorEastAsia" w:hAnsiTheme="majorHAnsi" w:cstheme="majorBidi" w:ascii="Arial" w:hAnsi="Arial" w:eastAsia="Microsoft YaHei"/>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eastAsia="Microsoft YaHei"/>
      <w:color w:val="000000"/>
      <w:spacing w:val="5"/>
      <w:kern w:val="28"/>
      <w:sz w:val="2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English League Pre-match Probability Prediction Project Overview</dc:title>
  <dc:subject/>
  <dc:creator>Football Prediction FYP</dc:creator>
  <cp:keywords/>
  <dc:description>generated by python-docx</dc:description>
  <cp:lastModifiedBy/>
  <cp:revision>1</cp:revision>
  <dcterms:created xsi:type="dcterms:W3CDTF">2013-12-23T23:15:00Z</dcterms:created>
  <dcterms:modified xsi:type="dcterms:W3CDTF">2013-12-23T23:15:00Z</dcterms:modified>
  <cp:category/>
</cp:coreProperties>
</file>