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32499" w14:textId="3016C4CB" w:rsidR="008631AD" w:rsidRDefault="008631AD">
      <w:pPr>
        <w:rPr>
          <w:b/>
          <w:bCs/>
        </w:rPr>
      </w:pPr>
      <w:r w:rsidRPr="008631AD">
        <w:rPr>
          <w:b/>
          <w:bCs/>
        </w:rPr>
        <w:t>Integration Runtime for two linked Services:</w:t>
      </w:r>
    </w:p>
    <w:p w14:paraId="6E453C5F" w14:textId="77777777" w:rsidR="008631AD" w:rsidRPr="008631AD" w:rsidRDefault="008631AD" w:rsidP="008631AD">
      <w:pPr>
        <w:rPr>
          <w:b/>
          <w:bCs/>
        </w:rPr>
      </w:pPr>
      <w:r w:rsidRPr="008631AD">
        <w:rPr>
          <w:b/>
          <w:bCs/>
        </w:rPr>
        <w:t>Create a shared self-hosted IR using Azure Data Factory UI</w:t>
      </w:r>
    </w:p>
    <w:p w14:paraId="7129FBC0" w14:textId="77777777" w:rsidR="008631AD" w:rsidRPr="008631AD" w:rsidRDefault="008631AD" w:rsidP="008631AD">
      <w:pPr>
        <w:rPr>
          <w:b/>
          <w:bCs/>
        </w:rPr>
      </w:pPr>
      <w:r w:rsidRPr="008631AD">
        <w:rPr>
          <w:b/>
          <w:bCs/>
        </w:rPr>
        <w:t>To create a shared self-hosted IR using Azure Data Factory UI, you can take following steps:</w:t>
      </w:r>
    </w:p>
    <w:p w14:paraId="72ABDCAC" w14:textId="77777777" w:rsidR="008631AD" w:rsidRPr="008631AD" w:rsidRDefault="008631AD" w:rsidP="008631AD">
      <w:pPr>
        <w:numPr>
          <w:ilvl w:val="0"/>
          <w:numId w:val="1"/>
        </w:numPr>
        <w:rPr>
          <w:b/>
          <w:bCs/>
        </w:rPr>
      </w:pPr>
      <w:r w:rsidRPr="008631AD">
        <w:rPr>
          <w:b/>
          <w:bCs/>
        </w:rPr>
        <w:t>In the self-hosted IR to be shared, select Grant permission to another Data factory and in the "Integration runtime setup" page, select the Data factory in which you want to create the linked IR.</w:t>
      </w:r>
    </w:p>
    <w:p w14:paraId="463DB04A" w14:textId="04F8246C" w:rsidR="008631AD" w:rsidRPr="008631AD" w:rsidRDefault="008631AD" w:rsidP="008631AD">
      <w:pPr>
        <w:rPr>
          <w:b/>
          <w:bCs/>
        </w:rPr>
      </w:pPr>
      <w:r w:rsidRPr="008631AD">
        <w:rPr>
          <w:b/>
          <w:bCs/>
        </w:rPr>
        <w:drawing>
          <wp:inline distT="0" distB="0" distL="0" distR="0" wp14:anchorId="325E4F04" wp14:editId="1263426E">
            <wp:extent cx="5943600" cy="3676650"/>
            <wp:effectExtent l="0" t="0" r="0" b="0"/>
            <wp:docPr id="627498722" name="Picture 8" descr="Button for granting permission on the Sharing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utton for granting permission on the Sharing ta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14:paraId="47A0DFD3" w14:textId="77777777" w:rsidR="008631AD" w:rsidRPr="008631AD" w:rsidRDefault="008631AD" w:rsidP="008631AD">
      <w:pPr>
        <w:numPr>
          <w:ilvl w:val="0"/>
          <w:numId w:val="1"/>
        </w:numPr>
        <w:rPr>
          <w:b/>
          <w:bCs/>
        </w:rPr>
      </w:pPr>
      <w:r w:rsidRPr="008631AD">
        <w:rPr>
          <w:b/>
          <w:bCs/>
        </w:rPr>
        <w:t>Note and copy the above "Resource ID" of the self-hosted IR to be shared.</w:t>
      </w:r>
    </w:p>
    <w:p w14:paraId="01B76C6F" w14:textId="77777777" w:rsidR="008631AD" w:rsidRPr="008631AD" w:rsidRDefault="008631AD" w:rsidP="008631AD">
      <w:pPr>
        <w:numPr>
          <w:ilvl w:val="0"/>
          <w:numId w:val="1"/>
        </w:numPr>
        <w:rPr>
          <w:b/>
          <w:bCs/>
        </w:rPr>
      </w:pPr>
      <w:r w:rsidRPr="008631AD">
        <w:rPr>
          <w:b/>
          <w:bCs/>
        </w:rPr>
        <w:t>In the data factory to which the permissions were granted, create a new self-hosted IR (linked) and enter the resource ID.</w:t>
      </w:r>
    </w:p>
    <w:p w14:paraId="74C79C70" w14:textId="121295F8" w:rsidR="008631AD" w:rsidRPr="008631AD" w:rsidRDefault="008631AD" w:rsidP="008631AD">
      <w:pPr>
        <w:rPr>
          <w:b/>
          <w:bCs/>
        </w:rPr>
      </w:pPr>
      <w:r w:rsidRPr="008631AD">
        <w:rPr>
          <w:b/>
          <w:bCs/>
        </w:rPr>
        <w:lastRenderedPageBreak/>
        <w:drawing>
          <wp:inline distT="0" distB="0" distL="0" distR="0" wp14:anchorId="670A23D1" wp14:editId="3B10E449">
            <wp:extent cx="4777740" cy="2918460"/>
            <wp:effectExtent l="0" t="0" r="3810" b="0"/>
            <wp:docPr id="1411277700" name="Picture 7" descr="Button for creating a self-hosted integration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utton for creating a self-hosted integration runti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740" cy="2918460"/>
                    </a:xfrm>
                    <a:prstGeom prst="rect">
                      <a:avLst/>
                    </a:prstGeom>
                    <a:noFill/>
                    <a:ln>
                      <a:noFill/>
                    </a:ln>
                  </pic:spPr>
                </pic:pic>
              </a:graphicData>
            </a:graphic>
          </wp:inline>
        </w:drawing>
      </w:r>
    </w:p>
    <w:p w14:paraId="28C964C9" w14:textId="10D410CA" w:rsidR="008631AD" w:rsidRPr="008631AD" w:rsidRDefault="008631AD" w:rsidP="008631AD">
      <w:pPr>
        <w:rPr>
          <w:b/>
          <w:bCs/>
        </w:rPr>
      </w:pPr>
      <w:r w:rsidRPr="008631AD">
        <w:rPr>
          <w:b/>
          <w:bCs/>
        </w:rPr>
        <w:drawing>
          <wp:inline distT="0" distB="0" distL="0" distR="0" wp14:anchorId="0B0D0130" wp14:editId="2693D80C">
            <wp:extent cx="4739640" cy="4419600"/>
            <wp:effectExtent l="0" t="0" r="3810" b="0"/>
            <wp:docPr id="723364928" name="Picture 6" descr="Button for creating a linked self-hosted integration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utton for creating a linked self-hosted integration runti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9640" cy="4419600"/>
                    </a:xfrm>
                    <a:prstGeom prst="rect">
                      <a:avLst/>
                    </a:prstGeom>
                    <a:noFill/>
                    <a:ln>
                      <a:noFill/>
                    </a:ln>
                  </pic:spPr>
                </pic:pic>
              </a:graphicData>
            </a:graphic>
          </wp:inline>
        </w:drawing>
      </w:r>
    </w:p>
    <w:p w14:paraId="512C3362" w14:textId="4CAC7CFC" w:rsidR="008631AD" w:rsidRPr="008631AD" w:rsidRDefault="008631AD" w:rsidP="008631AD">
      <w:pPr>
        <w:rPr>
          <w:b/>
          <w:bCs/>
        </w:rPr>
      </w:pPr>
      <w:r w:rsidRPr="008631AD">
        <w:rPr>
          <w:b/>
          <w:bCs/>
        </w:rPr>
        <w:lastRenderedPageBreak/>
        <w:drawing>
          <wp:inline distT="0" distB="0" distL="0" distR="0" wp14:anchorId="0CF3565F" wp14:editId="124DC5DD">
            <wp:extent cx="5943600" cy="4733925"/>
            <wp:effectExtent l="0" t="0" r="0" b="9525"/>
            <wp:docPr id="394341976" name="Picture 5" descr="Boxes for name and resource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oxes for name and resource 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33925"/>
                    </a:xfrm>
                    <a:prstGeom prst="rect">
                      <a:avLst/>
                    </a:prstGeom>
                    <a:noFill/>
                    <a:ln>
                      <a:noFill/>
                    </a:ln>
                  </pic:spPr>
                </pic:pic>
              </a:graphicData>
            </a:graphic>
          </wp:inline>
        </w:drawing>
      </w:r>
    </w:p>
    <w:p w14:paraId="572BC246" w14:textId="32062FE3" w:rsidR="008631AD" w:rsidRDefault="008631AD">
      <w:pPr>
        <w:rPr>
          <w:b/>
          <w:bCs/>
        </w:rPr>
      </w:pPr>
      <w:r>
        <w:rPr>
          <w:b/>
          <w:bCs/>
        </w:rPr>
        <w:t>EXPLANATION:</w:t>
      </w:r>
    </w:p>
    <w:p w14:paraId="2EA26FB9" w14:textId="6DFD2D2E" w:rsidR="008631AD" w:rsidRDefault="008631AD">
      <w:r w:rsidRPr="008631AD">
        <w:t>Here when I created an SHIR</w:t>
      </w:r>
      <w:r>
        <w:t xml:space="preserve">1 for practice-02 </w:t>
      </w:r>
      <w:proofErr w:type="spellStart"/>
      <w:r>
        <w:t>df</w:t>
      </w:r>
      <w:proofErr w:type="spellEnd"/>
      <w:r>
        <w:t>; I used the authentication that I got when I am creating a linked service in this data factory; let us assume this as key1 I am unable to use the SHIR1 in another data factory for my project Bcase01-</w:t>
      </w:r>
      <w:proofErr w:type="gramStart"/>
      <w:r>
        <w:t>df  when</w:t>
      </w:r>
      <w:proofErr w:type="gramEnd"/>
      <w:r>
        <w:t xml:space="preserve"> I am creating linked service in this data factory; so here </w:t>
      </w:r>
    </w:p>
    <w:p w14:paraId="183C7AF5" w14:textId="3EE4C4A4" w:rsidR="008631AD" w:rsidRDefault="008631AD">
      <w:r>
        <w:t xml:space="preserve">I tried various methods </w:t>
      </w:r>
      <w:proofErr w:type="gramStart"/>
      <w:r>
        <w:t>like :</w:t>
      </w:r>
      <w:proofErr w:type="gramEnd"/>
      <w:r>
        <w:t xml:space="preserve"> DNS resolution to see if the data factory is connecting to linked service in a right way or not; this has not worked </w:t>
      </w:r>
    </w:p>
    <w:p w14:paraId="050D9BE3" w14:textId="530F63A4" w:rsidR="008631AD" w:rsidRDefault="008631AD">
      <w:r>
        <w:t xml:space="preserve">So I removed everything and reinstalled </w:t>
      </w:r>
      <w:proofErr w:type="gramStart"/>
      <w:r>
        <w:t>everything(</w:t>
      </w:r>
      <w:proofErr w:type="gramEnd"/>
      <w:r>
        <w:t>WHICH IS A BAD PRACTICE)</w:t>
      </w:r>
    </w:p>
    <w:p w14:paraId="76628ACA" w14:textId="40778662" w:rsidR="008631AD" w:rsidRPr="000831DA" w:rsidRDefault="008631AD">
      <w:pPr>
        <w:rPr>
          <w:color w:val="00B050"/>
        </w:rPr>
      </w:pPr>
      <w:r w:rsidRPr="000831DA">
        <w:rPr>
          <w:color w:val="00B050"/>
        </w:rPr>
        <w:t xml:space="preserve">I created </w:t>
      </w:r>
      <w:proofErr w:type="gramStart"/>
      <w:r w:rsidRPr="000831DA">
        <w:rPr>
          <w:color w:val="00B050"/>
        </w:rPr>
        <w:t>a</w:t>
      </w:r>
      <w:proofErr w:type="gramEnd"/>
      <w:r w:rsidRPr="000831DA">
        <w:rPr>
          <w:color w:val="00B050"/>
        </w:rPr>
        <w:t xml:space="preserve"> integration runtime for Bcase01-df</w:t>
      </w:r>
      <w:r w:rsidRPr="000831DA">
        <w:rPr>
          <w:color w:val="00B050"/>
        </w:rPr>
        <w:sym w:font="Wingdings" w:char="F0E8"/>
      </w:r>
      <w:r w:rsidRPr="000831DA">
        <w:rPr>
          <w:color w:val="00B050"/>
        </w:rPr>
        <w:t xml:space="preserve"> linked service </w:t>
      </w:r>
      <w:r w:rsidRPr="000831DA">
        <w:rPr>
          <w:color w:val="00B050"/>
        </w:rPr>
        <w:sym w:font="Wingdings" w:char="F0E0"/>
      </w:r>
      <w:r w:rsidRPr="000831DA">
        <w:rPr>
          <w:color w:val="00B050"/>
        </w:rPr>
        <w:t xml:space="preserve"> </w:t>
      </w:r>
      <w:r w:rsidR="000831DA" w:rsidRPr="000831DA">
        <w:rPr>
          <w:color w:val="00B050"/>
        </w:rPr>
        <w:t xml:space="preserve">let us assume I created SHIR2 the key I used is key2 </w:t>
      </w:r>
    </w:p>
    <w:p w14:paraId="06E955FA" w14:textId="529532DF" w:rsidR="000831DA" w:rsidRPr="000831DA" w:rsidRDefault="000831DA">
      <w:pPr>
        <w:rPr>
          <w:color w:val="00B050"/>
        </w:rPr>
      </w:pPr>
      <w:proofErr w:type="gramStart"/>
      <w:r w:rsidRPr="000831DA">
        <w:rPr>
          <w:color w:val="00B050"/>
        </w:rPr>
        <w:t>Again</w:t>
      </w:r>
      <w:proofErr w:type="gramEnd"/>
      <w:r w:rsidRPr="000831DA">
        <w:rPr>
          <w:color w:val="00B050"/>
        </w:rPr>
        <w:t xml:space="preserve"> I want to use this in practice02-df linked service to see if it works and it is not working </w:t>
      </w:r>
    </w:p>
    <w:p w14:paraId="25110823" w14:textId="611EE416" w:rsidR="000831DA" w:rsidRPr="000831DA" w:rsidRDefault="008631AD">
      <w:pPr>
        <w:rPr>
          <w:color w:val="00B050"/>
        </w:rPr>
      </w:pPr>
      <w:r w:rsidRPr="000831DA">
        <w:rPr>
          <w:color w:val="00B050"/>
        </w:rPr>
        <w:lastRenderedPageBreak/>
        <w:t>I Observed that the authentication keys are different for two data factories even if I selected same SHIR</w:t>
      </w:r>
      <w:r w:rsidR="000831DA" w:rsidRPr="000831DA">
        <w:rPr>
          <w:color w:val="00B050"/>
        </w:rPr>
        <w:t>2</w:t>
      </w:r>
    </w:p>
    <w:p w14:paraId="0D506AD3" w14:textId="30BCF4B4" w:rsidR="000831DA" w:rsidRPr="000831DA" w:rsidRDefault="000831DA">
      <w:pPr>
        <w:rPr>
          <w:color w:val="00B050"/>
        </w:rPr>
      </w:pPr>
      <w:r w:rsidRPr="000831DA">
        <w:rPr>
          <w:color w:val="00B050"/>
        </w:rPr>
        <w:t>So that’s when I followed above process in which I used the same integration runtime SHIR2 for both data factories.</w:t>
      </w:r>
    </w:p>
    <w:p w14:paraId="30A72365" w14:textId="77777777" w:rsidR="000831DA" w:rsidRDefault="000831DA">
      <w:pPr>
        <w:rPr>
          <w:color w:val="70AD47" w:themeColor="accent6"/>
        </w:rPr>
      </w:pPr>
    </w:p>
    <w:p w14:paraId="4FA8A6E1" w14:textId="71E47ECC" w:rsidR="000831DA" w:rsidRPr="000831DA" w:rsidRDefault="000831DA">
      <w:pPr>
        <w:rPr>
          <w:color w:val="000000" w:themeColor="text1"/>
        </w:rPr>
      </w:pPr>
      <w:r w:rsidRPr="000831DA">
        <w:rPr>
          <w:color w:val="000000" w:themeColor="text1"/>
        </w:rPr>
        <w:t>PROCESS:</w:t>
      </w:r>
    </w:p>
    <w:p w14:paraId="212E2491" w14:textId="77777777" w:rsidR="000831DA" w:rsidRPr="000831DA" w:rsidRDefault="000831DA" w:rsidP="000831DA">
      <w:pPr>
        <w:rPr>
          <w:b/>
          <w:bCs/>
          <w:color w:val="000000" w:themeColor="text1"/>
        </w:rPr>
      </w:pPr>
      <w:r w:rsidRPr="000831DA">
        <w:rPr>
          <w:b/>
          <w:bCs/>
          <w:color w:val="000000" w:themeColor="text1"/>
        </w:rPr>
        <w:t>1. Grant Permissions in the Source Data Factory:</w:t>
      </w:r>
    </w:p>
    <w:p w14:paraId="023DA466" w14:textId="4EEA851B" w:rsidR="000831DA" w:rsidRPr="000831DA" w:rsidRDefault="000831DA" w:rsidP="000831DA">
      <w:pPr>
        <w:numPr>
          <w:ilvl w:val="0"/>
          <w:numId w:val="2"/>
        </w:numPr>
        <w:rPr>
          <w:color w:val="000000" w:themeColor="text1"/>
        </w:rPr>
      </w:pPr>
      <w:r w:rsidRPr="000831DA">
        <w:rPr>
          <w:b/>
          <w:bCs/>
          <w:color w:val="000000" w:themeColor="text1"/>
        </w:rPr>
        <w:t>Navigate to the Source Data Factory</w:t>
      </w:r>
      <w:r w:rsidRPr="000831DA">
        <w:rPr>
          <w:color w:val="000000" w:themeColor="text1"/>
        </w:rPr>
        <w:t xml:space="preserve"> (the Data Factory that owns the self-hosted integration runtime</w:t>
      </w:r>
      <w:r w:rsidRPr="000831DA">
        <w:rPr>
          <w:color w:val="000000" w:themeColor="text1"/>
        </w:rPr>
        <w:sym w:font="Wingdings" w:char="F0E8"/>
      </w:r>
      <w:r>
        <w:rPr>
          <w:color w:val="000000" w:themeColor="text1"/>
        </w:rPr>
        <w:t>NAME OF INTEGRATION RUNTIME:</w:t>
      </w:r>
      <w:r w:rsidRPr="000831DA">
        <w:rPr>
          <w:color w:val="000000" w:themeColor="text1"/>
        </w:rPr>
        <w:t xml:space="preserve"> integrationRuntime1).</w:t>
      </w:r>
    </w:p>
    <w:p w14:paraId="11D89FBE" w14:textId="77777777" w:rsidR="000831DA" w:rsidRPr="000831DA" w:rsidRDefault="000831DA" w:rsidP="000831DA">
      <w:pPr>
        <w:numPr>
          <w:ilvl w:val="0"/>
          <w:numId w:val="2"/>
        </w:numPr>
        <w:rPr>
          <w:color w:val="000000" w:themeColor="text1"/>
        </w:rPr>
      </w:pPr>
      <w:r w:rsidRPr="000831DA">
        <w:rPr>
          <w:color w:val="000000" w:themeColor="text1"/>
        </w:rPr>
        <w:t xml:space="preserve">Go to </w:t>
      </w:r>
      <w:r w:rsidRPr="000831DA">
        <w:rPr>
          <w:b/>
          <w:bCs/>
          <w:color w:val="000000" w:themeColor="text1"/>
        </w:rPr>
        <w:t>Manage</w:t>
      </w:r>
      <w:r w:rsidRPr="000831DA">
        <w:rPr>
          <w:color w:val="000000" w:themeColor="text1"/>
        </w:rPr>
        <w:t xml:space="preserve"> → </w:t>
      </w:r>
      <w:r w:rsidRPr="000831DA">
        <w:rPr>
          <w:b/>
          <w:bCs/>
          <w:color w:val="000000" w:themeColor="text1"/>
        </w:rPr>
        <w:t>Integration Runtimes</w:t>
      </w:r>
      <w:r w:rsidRPr="000831DA">
        <w:rPr>
          <w:color w:val="000000" w:themeColor="text1"/>
        </w:rPr>
        <w:t>.</w:t>
      </w:r>
    </w:p>
    <w:p w14:paraId="3E7508D4" w14:textId="77777777" w:rsidR="000831DA" w:rsidRPr="000831DA" w:rsidRDefault="000831DA" w:rsidP="000831DA">
      <w:pPr>
        <w:numPr>
          <w:ilvl w:val="0"/>
          <w:numId w:val="2"/>
        </w:numPr>
        <w:rPr>
          <w:color w:val="000000" w:themeColor="text1"/>
        </w:rPr>
      </w:pPr>
      <w:r w:rsidRPr="000831DA">
        <w:rPr>
          <w:color w:val="000000" w:themeColor="text1"/>
        </w:rPr>
        <w:t xml:space="preserve">Find the self-hosted IR (integrationRuntime1), and select </w:t>
      </w:r>
      <w:r w:rsidRPr="000831DA">
        <w:rPr>
          <w:b/>
          <w:bCs/>
          <w:color w:val="000000" w:themeColor="text1"/>
        </w:rPr>
        <w:t>Edit</w:t>
      </w:r>
      <w:r w:rsidRPr="000831DA">
        <w:rPr>
          <w:color w:val="000000" w:themeColor="text1"/>
        </w:rPr>
        <w:t>.</w:t>
      </w:r>
    </w:p>
    <w:p w14:paraId="2AE07E77" w14:textId="77777777" w:rsidR="000831DA" w:rsidRPr="000831DA" w:rsidRDefault="000831DA" w:rsidP="000831DA">
      <w:pPr>
        <w:numPr>
          <w:ilvl w:val="0"/>
          <w:numId w:val="2"/>
        </w:numPr>
        <w:rPr>
          <w:color w:val="000000" w:themeColor="text1"/>
        </w:rPr>
      </w:pPr>
      <w:r w:rsidRPr="000831DA">
        <w:rPr>
          <w:color w:val="000000" w:themeColor="text1"/>
        </w:rPr>
        <w:t xml:space="preserve">Under the </w:t>
      </w:r>
      <w:r w:rsidRPr="000831DA">
        <w:rPr>
          <w:b/>
          <w:bCs/>
          <w:color w:val="000000" w:themeColor="text1"/>
        </w:rPr>
        <w:t>Integration Runtime setup</w:t>
      </w:r>
      <w:r w:rsidRPr="000831DA">
        <w:rPr>
          <w:color w:val="000000" w:themeColor="text1"/>
        </w:rPr>
        <w:t xml:space="preserve"> page, go to the </w:t>
      </w:r>
      <w:r w:rsidRPr="000831DA">
        <w:rPr>
          <w:b/>
          <w:bCs/>
          <w:color w:val="000000" w:themeColor="text1"/>
        </w:rPr>
        <w:t>Sharing tab</w:t>
      </w:r>
      <w:r w:rsidRPr="000831DA">
        <w:rPr>
          <w:color w:val="000000" w:themeColor="text1"/>
        </w:rPr>
        <w:t>.</w:t>
      </w:r>
    </w:p>
    <w:p w14:paraId="48F4766A" w14:textId="4084D0AC" w:rsidR="000831DA" w:rsidRPr="000831DA" w:rsidRDefault="000831DA" w:rsidP="000831DA">
      <w:pPr>
        <w:numPr>
          <w:ilvl w:val="0"/>
          <w:numId w:val="2"/>
        </w:numPr>
        <w:rPr>
          <w:color w:val="000000" w:themeColor="text1"/>
        </w:rPr>
      </w:pPr>
      <w:r w:rsidRPr="000831DA">
        <w:rPr>
          <w:color w:val="000000" w:themeColor="text1"/>
        </w:rPr>
        <w:t xml:space="preserve">Make sure you have selected </w:t>
      </w:r>
      <w:r w:rsidRPr="000831DA">
        <w:rPr>
          <w:b/>
          <w:bCs/>
          <w:color w:val="000000" w:themeColor="text1"/>
        </w:rPr>
        <w:t>Grant permission to another Data Factory</w:t>
      </w:r>
      <w:r w:rsidRPr="000831DA">
        <w:rPr>
          <w:color w:val="000000" w:themeColor="text1"/>
        </w:rPr>
        <w:t xml:space="preserve"> and provide the necessary permissions to the target Data </w:t>
      </w:r>
      <w:proofErr w:type="gramStart"/>
      <w:r w:rsidRPr="000831DA">
        <w:rPr>
          <w:color w:val="000000" w:themeColor="text1"/>
        </w:rPr>
        <w:t>Factory.</w:t>
      </w:r>
      <w:r>
        <w:rPr>
          <w:color w:val="000000" w:themeColor="text1"/>
        </w:rPr>
        <w:t>(</w:t>
      </w:r>
      <w:proofErr w:type="gramEnd"/>
      <w:r>
        <w:rPr>
          <w:color w:val="000000" w:themeColor="text1"/>
        </w:rPr>
        <w:t>Here we are granting permission to the Managed identity(which means service of azure i.e. data factory) but we are not selecting the user identity.</w:t>
      </w:r>
    </w:p>
    <w:p w14:paraId="6944CA11" w14:textId="77777777" w:rsidR="000831DA" w:rsidRPr="000831DA" w:rsidRDefault="000831DA" w:rsidP="000831DA">
      <w:pPr>
        <w:numPr>
          <w:ilvl w:val="0"/>
          <w:numId w:val="2"/>
        </w:numPr>
        <w:rPr>
          <w:color w:val="000000" w:themeColor="text1"/>
        </w:rPr>
      </w:pPr>
      <w:r w:rsidRPr="000831DA">
        <w:rPr>
          <w:color w:val="000000" w:themeColor="text1"/>
        </w:rPr>
        <w:t xml:space="preserve">Copy the </w:t>
      </w:r>
      <w:r w:rsidRPr="000831DA">
        <w:rPr>
          <w:b/>
          <w:bCs/>
          <w:color w:val="000000" w:themeColor="text1"/>
        </w:rPr>
        <w:t>Resource ID</w:t>
      </w:r>
      <w:r w:rsidRPr="000831DA">
        <w:rPr>
          <w:color w:val="000000" w:themeColor="text1"/>
        </w:rPr>
        <w:t xml:space="preserve"> of the integration runtime to use in the next step.</w:t>
      </w:r>
    </w:p>
    <w:p w14:paraId="0F08DF2C" w14:textId="77777777" w:rsidR="000831DA" w:rsidRPr="000831DA" w:rsidRDefault="000831DA" w:rsidP="000831DA">
      <w:pPr>
        <w:rPr>
          <w:b/>
          <w:bCs/>
          <w:color w:val="000000" w:themeColor="text1"/>
        </w:rPr>
      </w:pPr>
      <w:r w:rsidRPr="000831DA">
        <w:rPr>
          <w:b/>
          <w:bCs/>
          <w:color w:val="000000" w:themeColor="text1"/>
        </w:rPr>
        <w:t>2. Create Linked IR in the Target Data Factory:</w:t>
      </w:r>
    </w:p>
    <w:p w14:paraId="626656A0" w14:textId="77777777" w:rsidR="000831DA" w:rsidRPr="000831DA" w:rsidRDefault="000831DA" w:rsidP="000831DA">
      <w:pPr>
        <w:numPr>
          <w:ilvl w:val="0"/>
          <w:numId w:val="3"/>
        </w:numPr>
        <w:rPr>
          <w:color w:val="000000" w:themeColor="text1"/>
        </w:rPr>
      </w:pPr>
      <w:r w:rsidRPr="000831DA">
        <w:rPr>
          <w:b/>
          <w:bCs/>
          <w:color w:val="000000" w:themeColor="text1"/>
        </w:rPr>
        <w:t>Navigate to the Target Data Factory</w:t>
      </w:r>
      <w:r w:rsidRPr="000831DA">
        <w:rPr>
          <w:color w:val="000000" w:themeColor="text1"/>
        </w:rPr>
        <w:t xml:space="preserve"> (the Data Factory that is trying to use the shared IR).</w:t>
      </w:r>
    </w:p>
    <w:p w14:paraId="0B162872" w14:textId="77777777" w:rsidR="000831DA" w:rsidRPr="000831DA" w:rsidRDefault="000831DA" w:rsidP="000831DA">
      <w:pPr>
        <w:numPr>
          <w:ilvl w:val="0"/>
          <w:numId w:val="3"/>
        </w:numPr>
        <w:rPr>
          <w:color w:val="000000" w:themeColor="text1"/>
        </w:rPr>
      </w:pPr>
      <w:r w:rsidRPr="000831DA">
        <w:rPr>
          <w:color w:val="000000" w:themeColor="text1"/>
        </w:rPr>
        <w:t xml:space="preserve">Go to </w:t>
      </w:r>
      <w:r w:rsidRPr="000831DA">
        <w:rPr>
          <w:b/>
          <w:bCs/>
          <w:color w:val="000000" w:themeColor="text1"/>
        </w:rPr>
        <w:t>Manage</w:t>
      </w:r>
      <w:r w:rsidRPr="000831DA">
        <w:rPr>
          <w:color w:val="000000" w:themeColor="text1"/>
        </w:rPr>
        <w:t xml:space="preserve"> → </w:t>
      </w:r>
      <w:r w:rsidRPr="000831DA">
        <w:rPr>
          <w:b/>
          <w:bCs/>
          <w:color w:val="000000" w:themeColor="text1"/>
        </w:rPr>
        <w:t>Integration Runtimes</w:t>
      </w:r>
      <w:r w:rsidRPr="000831DA">
        <w:rPr>
          <w:color w:val="000000" w:themeColor="text1"/>
        </w:rPr>
        <w:t>.</w:t>
      </w:r>
    </w:p>
    <w:p w14:paraId="6C1A5B9A" w14:textId="77777777" w:rsidR="000831DA" w:rsidRPr="000831DA" w:rsidRDefault="000831DA" w:rsidP="000831DA">
      <w:pPr>
        <w:numPr>
          <w:ilvl w:val="0"/>
          <w:numId w:val="3"/>
        </w:numPr>
        <w:rPr>
          <w:color w:val="000000" w:themeColor="text1"/>
        </w:rPr>
      </w:pPr>
      <w:r w:rsidRPr="000831DA">
        <w:rPr>
          <w:color w:val="000000" w:themeColor="text1"/>
        </w:rPr>
        <w:t xml:space="preserve">Click on </w:t>
      </w:r>
      <w:r w:rsidRPr="000831DA">
        <w:rPr>
          <w:b/>
          <w:bCs/>
          <w:color w:val="000000" w:themeColor="text1"/>
        </w:rPr>
        <w:t>New</w:t>
      </w:r>
      <w:r w:rsidRPr="000831DA">
        <w:rPr>
          <w:color w:val="000000" w:themeColor="text1"/>
        </w:rPr>
        <w:t xml:space="preserve"> and select </w:t>
      </w:r>
      <w:r w:rsidRPr="000831DA">
        <w:rPr>
          <w:b/>
          <w:bCs/>
          <w:color w:val="000000" w:themeColor="text1"/>
        </w:rPr>
        <w:t>Self-hosted</w:t>
      </w:r>
      <w:r w:rsidRPr="000831DA">
        <w:rPr>
          <w:color w:val="000000" w:themeColor="text1"/>
        </w:rPr>
        <w:t>.</w:t>
      </w:r>
    </w:p>
    <w:p w14:paraId="4A391A02" w14:textId="77777777" w:rsidR="000831DA" w:rsidRPr="000831DA" w:rsidRDefault="000831DA" w:rsidP="000831DA">
      <w:pPr>
        <w:numPr>
          <w:ilvl w:val="0"/>
          <w:numId w:val="3"/>
        </w:numPr>
        <w:rPr>
          <w:color w:val="000000" w:themeColor="text1"/>
        </w:rPr>
      </w:pPr>
      <w:r w:rsidRPr="000831DA">
        <w:rPr>
          <w:color w:val="000000" w:themeColor="text1"/>
        </w:rPr>
        <w:t xml:space="preserve">In the </w:t>
      </w:r>
      <w:r w:rsidRPr="000831DA">
        <w:rPr>
          <w:b/>
          <w:bCs/>
          <w:color w:val="000000" w:themeColor="text1"/>
        </w:rPr>
        <w:t>Self-hosted IR setup</w:t>
      </w:r>
      <w:r w:rsidRPr="000831DA">
        <w:rPr>
          <w:color w:val="000000" w:themeColor="text1"/>
        </w:rPr>
        <w:t xml:space="preserve"> page, choose </w:t>
      </w:r>
      <w:r w:rsidRPr="000831DA">
        <w:rPr>
          <w:b/>
          <w:bCs/>
          <w:color w:val="000000" w:themeColor="text1"/>
        </w:rPr>
        <w:t>Create linked IR</w:t>
      </w:r>
      <w:r w:rsidRPr="000831DA">
        <w:rPr>
          <w:color w:val="000000" w:themeColor="text1"/>
        </w:rPr>
        <w:t xml:space="preserve"> and paste the </w:t>
      </w:r>
      <w:r w:rsidRPr="000831DA">
        <w:rPr>
          <w:b/>
          <w:bCs/>
          <w:color w:val="000000" w:themeColor="text1"/>
        </w:rPr>
        <w:t>Resource ID</w:t>
      </w:r>
      <w:r w:rsidRPr="000831DA">
        <w:rPr>
          <w:color w:val="000000" w:themeColor="text1"/>
        </w:rPr>
        <w:t xml:space="preserve"> from the source Data Factory’s IR.</w:t>
      </w:r>
    </w:p>
    <w:p w14:paraId="0BA78A55" w14:textId="77777777" w:rsidR="000831DA" w:rsidRPr="000831DA" w:rsidRDefault="000831DA" w:rsidP="000831DA">
      <w:pPr>
        <w:numPr>
          <w:ilvl w:val="0"/>
          <w:numId w:val="3"/>
        </w:numPr>
        <w:rPr>
          <w:color w:val="000000" w:themeColor="text1"/>
        </w:rPr>
      </w:pPr>
      <w:r w:rsidRPr="000831DA">
        <w:rPr>
          <w:color w:val="000000" w:themeColor="text1"/>
        </w:rPr>
        <w:t xml:space="preserve">Provide a name for the linked IR and click </w:t>
      </w:r>
      <w:r w:rsidRPr="000831DA">
        <w:rPr>
          <w:b/>
          <w:bCs/>
          <w:color w:val="000000" w:themeColor="text1"/>
        </w:rPr>
        <w:t>Create</w:t>
      </w:r>
      <w:r w:rsidRPr="000831DA">
        <w:rPr>
          <w:color w:val="000000" w:themeColor="text1"/>
        </w:rPr>
        <w:t>.</w:t>
      </w:r>
    </w:p>
    <w:p w14:paraId="35729CEC" w14:textId="77777777" w:rsidR="000831DA" w:rsidRPr="000831DA" w:rsidRDefault="000831DA" w:rsidP="000831DA">
      <w:pPr>
        <w:rPr>
          <w:b/>
          <w:bCs/>
          <w:color w:val="000000" w:themeColor="text1"/>
        </w:rPr>
      </w:pPr>
      <w:r w:rsidRPr="000831DA">
        <w:rPr>
          <w:b/>
          <w:bCs/>
          <w:color w:val="000000" w:themeColor="text1"/>
        </w:rPr>
        <w:t>3. Ensure Proper Permissions:</w:t>
      </w:r>
    </w:p>
    <w:p w14:paraId="08FACC80" w14:textId="77777777" w:rsidR="000831DA" w:rsidRPr="000831DA" w:rsidRDefault="000831DA" w:rsidP="000831DA">
      <w:pPr>
        <w:numPr>
          <w:ilvl w:val="0"/>
          <w:numId w:val="4"/>
        </w:numPr>
        <w:rPr>
          <w:color w:val="000000" w:themeColor="text1"/>
        </w:rPr>
      </w:pPr>
      <w:r w:rsidRPr="000831DA">
        <w:rPr>
          <w:color w:val="000000" w:themeColor="text1"/>
        </w:rPr>
        <w:t xml:space="preserve">Make sure that the Data Factory in the source environment has </w:t>
      </w:r>
      <w:r w:rsidRPr="000831DA">
        <w:rPr>
          <w:b/>
          <w:bCs/>
          <w:color w:val="000000" w:themeColor="text1"/>
        </w:rPr>
        <w:t>sufficient permissions</w:t>
      </w:r>
      <w:r w:rsidRPr="000831DA">
        <w:rPr>
          <w:color w:val="000000" w:themeColor="text1"/>
        </w:rPr>
        <w:t xml:space="preserve"> to share the IR with the target Data Factory. It needs the </w:t>
      </w:r>
      <w:r w:rsidRPr="000831DA">
        <w:rPr>
          <w:b/>
          <w:bCs/>
          <w:color w:val="000000" w:themeColor="text1"/>
        </w:rPr>
        <w:t>Owner</w:t>
      </w:r>
      <w:r w:rsidRPr="000831DA">
        <w:rPr>
          <w:color w:val="000000" w:themeColor="text1"/>
        </w:rPr>
        <w:t xml:space="preserve"> or </w:t>
      </w:r>
      <w:r w:rsidRPr="000831DA">
        <w:rPr>
          <w:b/>
          <w:bCs/>
          <w:color w:val="000000" w:themeColor="text1"/>
        </w:rPr>
        <w:t>Contributor</w:t>
      </w:r>
      <w:r w:rsidRPr="000831DA">
        <w:rPr>
          <w:color w:val="000000" w:themeColor="text1"/>
        </w:rPr>
        <w:t xml:space="preserve"> role on the source Data Factory for the IR to be accessible.</w:t>
      </w:r>
    </w:p>
    <w:p w14:paraId="1883F7E9" w14:textId="77777777" w:rsidR="000831DA" w:rsidRPr="000831DA" w:rsidRDefault="000831DA" w:rsidP="000831DA">
      <w:pPr>
        <w:numPr>
          <w:ilvl w:val="0"/>
          <w:numId w:val="4"/>
        </w:numPr>
        <w:rPr>
          <w:color w:val="000000" w:themeColor="text1"/>
        </w:rPr>
      </w:pPr>
      <w:r w:rsidRPr="000831DA">
        <w:rPr>
          <w:color w:val="000000" w:themeColor="text1"/>
        </w:rPr>
        <w:t xml:space="preserve">The target Data Factory also needs appropriate permissions to </w:t>
      </w:r>
      <w:r w:rsidRPr="000831DA">
        <w:rPr>
          <w:b/>
          <w:bCs/>
          <w:color w:val="000000" w:themeColor="text1"/>
        </w:rPr>
        <w:t>link to</w:t>
      </w:r>
      <w:r w:rsidRPr="000831DA">
        <w:rPr>
          <w:color w:val="000000" w:themeColor="text1"/>
        </w:rPr>
        <w:t xml:space="preserve"> the shared IR.</w:t>
      </w:r>
    </w:p>
    <w:p w14:paraId="19CA5BF8" w14:textId="77777777" w:rsidR="000831DA" w:rsidRPr="000831DA" w:rsidRDefault="000831DA" w:rsidP="000831DA">
      <w:pPr>
        <w:rPr>
          <w:b/>
          <w:bCs/>
          <w:color w:val="000000" w:themeColor="text1"/>
        </w:rPr>
      </w:pPr>
      <w:r w:rsidRPr="000831DA">
        <w:rPr>
          <w:b/>
          <w:bCs/>
          <w:color w:val="000000" w:themeColor="text1"/>
        </w:rPr>
        <w:lastRenderedPageBreak/>
        <w:t>4. Check Identity and Access Control:</w:t>
      </w:r>
    </w:p>
    <w:p w14:paraId="03370706" w14:textId="77777777" w:rsidR="000831DA" w:rsidRPr="000831DA" w:rsidRDefault="000831DA" w:rsidP="000831DA">
      <w:pPr>
        <w:numPr>
          <w:ilvl w:val="0"/>
          <w:numId w:val="5"/>
        </w:numPr>
        <w:rPr>
          <w:color w:val="000000" w:themeColor="text1"/>
        </w:rPr>
      </w:pPr>
      <w:r w:rsidRPr="000831DA">
        <w:rPr>
          <w:color w:val="000000" w:themeColor="text1"/>
        </w:rPr>
        <w:t xml:space="preserve">If you're using managed identities (either </w:t>
      </w:r>
      <w:r w:rsidRPr="000831DA">
        <w:rPr>
          <w:b/>
          <w:bCs/>
          <w:color w:val="000000" w:themeColor="text1"/>
        </w:rPr>
        <w:t>system-assigned</w:t>
      </w:r>
      <w:r w:rsidRPr="000831DA">
        <w:rPr>
          <w:color w:val="000000" w:themeColor="text1"/>
        </w:rPr>
        <w:t xml:space="preserve"> or </w:t>
      </w:r>
      <w:r w:rsidRPr="000831DA">
        <w:rPr>
          <w:b/>
          <w:bCs/>
          <w:color w:val="000000" w:themeColor="text1"/>
        </w:rPr>
        <w:t>user-assigned</w:t>
      </w:r>
      <w:r w:rsidRPr="000831DA">
        <w:rPr>
          <w:color w:val="000000" w:themeColor="text1"/>
        </w:rPr>
        <w:t>), ensure that the correct identities have been granted the necessary permissions.</w:t>
      </w:r>
    </w:p>
    <w:p w14:paraId="7115210E" w14:textId="77777777" w:rsidR="000831DA" w:rsidRPr="000831DA" w:rsidRDefault="000831DA" w:rsidP="000831DA">
      <w:pPr>
        <w:numPr>
          <w:ilvl w:val="0"/>
          <w:numId w:val="5"/>
        </w:numPr>
        <w:rPr>
          <w:color w:val="000000" w:themeColor="text1"/>
        </w:rPr>
      </w:pPr>
      <w:r w:rsidRPr="000831DA">
        <w:rPr>
          <w:color w:val="000000" w:themeColor="text1"/>
        </w:rPr>
        <w:t xml:space="preserve">If the IR is using a </w:t>
      </w:r>
      <w:r w:rsidRPr="000831DA">
        <w:rPr>
          <w:b/>
          <w:bCs/>
          <w:color w:val="000000" w:themeColor="text1"/>
        </w:rPr>
        <w:t>user-assigned managed identity</w:t>
      </w:r>
      <w:r w:rsidRPr="000831DA">
        <w:rPr>
          <w:color w:val="000000" w:themeColor="text1"/>
        </w:rPr>
        <w:t>, make sure it is properly configured in both the source and target Data Factory.</w:t>
      </w:r>
    </w:p>
    <w:p w14:paraId="00493292" w14:textId="1F4982FD" w:rsidR="000831DA" w:rsidRDefault="000831DA">
      <w:pPr>
        <w:rPr>
          <w:color w:val="000000" w:themeColor="text1"/>
        </w:rPr>
      </w:pPr>
      <w:r w:rsidRPr="000831DA">
        <w:rPr>
          <w:color w:val="000000" w:themeColor="text1"/>
        </w:rPr>
        <w:t>After following these steps, try again to create the linked IR in the target Data Factory.</w:t>
      </w:r>
    </w:p>
    <w:p w14:paraId="6A0492FC" w14:textId="6232D62F" w:rsidR="00E43057" w:rsidRDefault="000831DA">
      <w:pPr>
        <w:rPr>
          <w:color w:val="000000" w:themeColor="text1"/>
        </w:rPr>
      </w:pPr>
      <w:proofErr w:type="gramStart"/>
      <w:r>
        <w:rPr>
          <w:color w:val="000000" w:themeColor="text1"/>
        </w:rPr>
        <w:t>So</w:t>
      </w:r>
      <w:proofErr w:type="gramEnd"/>
      <w:r>
        <w:rPr>
          <w:color w:val="000000" w:themeColor="text1"/>
        </w:rPr>
        <w:t xml:space="preserve"> I copied the </w:t>
      </w:r>
      <w:proofErr w:type="spellStart"/>
      <w:r>
        <w:rPr>
          <w:color w:val="000000" w:themeColor="text1"/>
        </w:rPr>
        <w:t>ResourceID</w:t>
      </w:r>
      <w:proofErr w:type="spellEnd"/>
      <w:r>
        <w:rPr>
          <w:color w:val="000000" w:themeColor="text1"/>
        </w:rPr>
        <w:t xml:space="preserve"> of integration runtime that is running in Bcase01-df and pasted it in target </w:t>
      </w:r>
      <w:r w:rsidR="00E43057">
        <w:rPr>
          <w:color w:val="000000" w:themeColor="text1"/>
        </w:rPr>
        <w:t xml:space="preserve">DF (by creating a new integration runtime in practice02-df as Azure, self-hosted). </w:t>
      </w:r>
    </w:p>
    <w:p w14:paraId="0E778CBF" w14:textId="2224F103" w:rsidR="00E43057" w:rsidRPr="000831DA" w:rsidRDefault="00E43057">
      <w:pPr>
        <w:rPr>
          <w:color w:val="000000" w:themeColor="text1"/>
        </w:rPr>
      </w:pPr>
      <w:r>
        <w:rPr>
          <w:color w:val="000000" w:themeColor="text1"/>
        </w:rPr>
        <w:t xml:space="preserve">This way I linked the same integration runtime to two different data factories: </w:t>
      </w:r>
    </w:p>
    <w:p w14:paraId="6414F748" w14:textId="1D56E1B5" w:rsidR="000831DA" w:rsidRPr="000831DA" w:rsidRDefault="00E43057">
      <w:pPr>
        <w:rPr>
          <w:color w:val="000000" w:themeColor="text1"/>
        </w:rPr>
      </w:pPr>
      <w:r>
        <w:rPr>
          <w:color w:val="000000" w:themeColor="text1"/>
        </w:rPr>
        <w:t>Bcase01-df Integration runtime:</w:t>
      </w:r>
    </w:p>
    <w:p w14:paraId="6B88E54C" w14:textId="0F5E4498" w:rsidR="008631AD" w:rsidRDefault="00E43057">
      <w:r w:rsidRPr="00E43057">
        <w:drawing>
          <wp:inline distT="0" distB="0" distL="0" distR="0" wp14:anchorId="2E7A428D" wp14:editId="2AEFA6D4">
            <wp:extent cx="5820937" cy="2651760"/>
            <wp:effectExtent l="0" t="0" r="8890" b="0"/>
            <wp:docPr id="1991102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02545" name=""/>
                    <pic:cNvPicPr/>
                  </pic:nvPicPr>
                  <pic:blipFill>
                    <a:blip r:embed="rId10"/>
                    <a:stretch>
                      <a:fillRect/>
                    </a:stretch>
                  </pic:blipFill>
                  <pic:spPr>
                    <a:xfrm>
                      <a:off x="0" y="0"/>
                      <a:ext cx="5829257" cy="2655550"/>
                    </a:xfrm>
                    <a:prstGeom prst="rect">
                      <a:avLst/>
                    </a:prstGeom>
                  </pic:spPr>
                </pic:pic>
              </a:graphicData>
            </a:graphic>
          </wp:inline>
        </w:drawing>
      </w:r>
    </w:p>
    <w:p w14:paraId="143B332A" w14:textId="77777777" w:rsidR="00E43057" w:rsidRDefault="00E43057"/>
    <w:p w14:paraId="65869EBF" w14:textId="77777777" w:rsidR="00E43057" w:rsidRDefault="00E43057"/>
    <w:p w14:paraId="1CFE7F89" w14:textId="77777777" w:rsidR="00E43057" w:rsidRDefault="00E43057"/>
    <w:p w14:paraId="524DB135" w14:textId="77777777" w:rsidR="00E43057" w:rsidRDefault="00E43057"/>
    <w:p w14:paraId="117E619E" w14:textId="77777777" w:rsidR="00E43057" w:rsidRDefault="00E43057"/>
    <w:p w14:paraId="48765549" w14:textId="77777777" w:rsidR="00E43057" w:rsidRDefault="00E43057"/>
    <w:p w14:paraId="27DD74AA" w14:textId="77777777" w:rsidR="00E43057" w:rsidRDefault="00E43057"/>
    <w:p w14:paraId="7CE39CE9" w14:textId="77777777" w:rsidR="00E43057" w:rsidRDefault="00E43057"/>
    <w:p w14:paraId="6855CEA0" w14:textId="75D16383" w:rsidR="008631AD" w:rsidRDefault="00E43057">
      <w:r>
        <w:lastRenderedPageBreak/>
        <w:t>Practice02-df</w:t>
      </w:r>
    </w:p>
    <w:p w14:paraId="446F6269" w14:textId="650EC1C5" w:rsidR="00E43057" w:rsidRPr="008631AD" w:rsidRDefault="00E43057">
      <w:r w:rsidRPr="00E43057">
        <w:drawing>
          <wp:inline distT="0" distB="0" distL="0" distR="0" wp14:anchorId="022C8B8C" wp14:editId="75BD2A49">
            <wp:extent cx="6072984" cy="2921000"/>
            <wp:effectExtent l="0" t="0" r="4445" b="0"/>
            <wp:docPr id="975701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01995" name=""/>
                    <pic:cNvPicPr/>
                  </pic:nvPicPr>
                  <pic:blipFill>
                    <a:blip r:embed="rId11"/>
                    <a:stretch>
                      <a:fillRect/>
                    </a:stretch>
                  </pic:blipFill>
                  <pic:spPr>
                    <a:xfrm>
                      <a:off x="0" y="0"/>
                      <a:ext cx="6119617" cy="2943430"/>
                    </a:xfrm>
                    <a:prstGeom prst="rect">
                      <a:avLst/>
                    </a:prstGeom>
                  </pic:spPr>
                </pic:pic>
              </a:graphicData>
            </a:graphic>
          </wp:inline>
        </w:drawing>
      </w:r>
    </w:p>
    <w:sectPr w:rsidR="00E43057" w:rsidRPr="00863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EE690B"/>
    <w:multiLevelType w:val="multilevel"/>
    <w:tmpl w:val="1DA6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36BDF"/>
    <w:multiLevelType w:val="multilevel"/>
    <w:tmpl w:val="23F6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22D18"/>
    <w:multiLevelType w:val="multilevel"/>
    <w:tmpl w:val="7E006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E53E06"/>
    <w:multiLevelType w:val="multilevel"/>
    <w:tmpl w:val="5226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CD0282"/>
    <w:multiLevelType w:val="multilevel"/>
    <w:tmpl w:val="CFAC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3193849">
    <w:abstractNumId w:val="2"/>
  </w:num>
  <w:num w:numId="2" w16cid:durableId="1488863181">
    <w:abstractNumId w:val="0"/>
  </w:num>
  <w:num w:numId="3" w16cid:durableId="209534947">
    <w:abstractNumId w:val="4"/>
  </w:num>
  <w:num w:numId="4" w16cid:durableId="731924545">
    <w:abstractNumId w:val="3"/>
  </w:num>
  <w:num w:numId="5" w16cid:durableId="415133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1AD"/>
    <w:rsid w:val="000831DA"/>
    <w:rsid w:val="008631AD"/>
    <w:rsid w:val="00A34727"/>
    <w:rsid w:val="00E43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B6377"/>
  <w15:chartTrackingRefBased/>
  <w15:docId w15:val="{EA727EB5-83D7-4E44-99EE-16D1809F7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1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31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31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31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31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3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1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31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31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31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31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3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1AD"/>
    <w:rPr>
      <w:rFonts w:eastAsiaTheme="majorEastAsia" w:cstheme="majorBidi"/>
      <w:color w:val="272727" w:themeColor="text1" w:themeTint="D8"/>
    </w:rPr>
  </w:style>
  <w:style w:type="paragraph" w:styleId="Title">
    <w:name w:val="Title"/>
    <w:basedOn w:val="Normal"/>
    <w:next w:val="Normal"/>
    <w:link w:val="TitleChar"/>
    <w:uiPriority w:val="10"/>
    <w:qFormat/>
    <w:rsid w:val="00863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1AD"/>
    <w:pPr>
      <w:spacing w:before="160"/>
      <w:jc w:val="center"/>
    </w:pPr>
    <w:rPr>
      <w:i/>
      <w:iCs/>
      <w:color w:val="404040" w:themeColor="text1" w:themeTint="BF"/>
    </w:rPr>
  </w:style>
  <w:style w:type="character" w:customStyle="1" w:styleId="QuoteChar">
    <w:name w:val="Quote Char"/>
    <w:basedOn w:val="DefaultParagraphFont"/>
    <w:link w:val="Quote"/>
    <w:uiPriority w:val="29"/>
    <w:rsid w:val="008631AD"/>
    <w:rPr>
      <w:i/>
      <w:iCs/>
      <w:color w:val="404040" w:themeColor="text1" w:themeTint="BF"/>
    </w:rPr>
  </w:style>
  <w:style w:type="paragraph" w:styleId="ListParagraph">
    <w:name w:val="List Paragraph"/>
    <w:basedOn w:val="Normal"/>
    <w:uiPriority w:val="34"/>
    <w:qFormat/>
    <w:rsid w:val="008631AD"/>
    <w:pPr>
      <w:ind w:left="720"/>
      <w:contextualSpacing/>
    </w:pPr>
  </w:style>
  <w:style w:type="character" w:styleId="IntenseEmphasis">
    <w:name w:val="Intense Emphasis"/>
    <w:basedOn w:val="DefaultParagraphFont"/>
    <w:uiPriority w:val="21"/>
    <w:qFormat/>
    <w:rsid w:val="008631AD"/>
    <w:rPr>
      <w:i/>
      <w:iCs/>
      <w:color w:val="2F5496" w:themeColor="accent1" w:themeShade="BF"/>
    </w:rPr>
  </w:style>
  <w:style w:type="paragraph" w:styleId="IntenseQuote">
    <w:name w:val="Intense Quote"/>
    <w:basedOn w:val="Normal"/>
    <w:next w:val="Normal"/>
    <w:link w:val="IntenseQuoteChar"/>
    <w:uiPriority w:val="30"/>
    <w:qFormat/>
    <w:rsid w:val="008631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31AD"/>
    <w:rPr>
      <w:i/>
      <w:iCs/>
      <w:color w:val="2F5496" w:themeColor="accent1" w:themeShade="BF"/>
    </w:rPr>
  </w:style>
  <w:style w:type="character" w:styleId="IntenseReference">
    <w:name w:val="Intense Reference"/>
    <w:basedOn w:val="DefaultParagraphFont"/>
    <w:uiPriority w:val="32"/>
    <w:qFormat/>
    <w:rsid w:val="008631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202959">
      <w:bodyDiv w:val="1"/>
      <w:marLeft w:val="0"/>
      <w:marRight w:val="0"/>
      <w:marTop w:val="0"/>
      <w:marBottom w:val="0"/>
      <w:divBdr>
        <w:top w:val="none" w:sz="0" w:space="0" w:color="auto"/>
        <w:left w:val="none" w:sz="0" w:space="0" w:color="auto"/>
        <w:bottom w:val="none" w:sz="0" w:space="0" w:color="auto"/>
        <w:right w:val="none" w:sz="0" w:space="0" w:color="auto"/>
      </w:divBdr>
      <w:divsChild>
        <w:div w:id="1614022431">
          <w:marLeft w:val="0"/>
          <w:marRight w:val="0"/>
          <w:marTop w:val="0"/>
          <w:marBottom w:val="0"/>
          <w:divBdr>
            <w:top w:val="none" w:sz="0" w:space="0" w:color="auto"/>
            <w:left w:val="none" w:sz="0" w:space="0" w:color="auto"/>
            <w:bottom w:val="none" w:sz="0" w:space="0" w:color="auto"/>
            <w:right w:val="none" w:sz="0" w:space="0" w:color="auto"/>
          </w:divBdr>
          <w:divsChild>
            <w:div w:id="2036731097">
              <w:marLeft w:val="0"/>
              <w:marRight w:val="0"/>
              <w:marTop w:val="0"/>
              <w:marBottom w:val="0"/>
              <w:divBdr>
                <w:top w:val="none" w:sz="0" w:space="0" w:color="auto"/>
                <w:left w:val="none" w:sz="0" w:space="0" w:color="auto"/>
                <w:bottom w:val="none" w:sz="0" w:space="0" w:color="auto"/>
                <w:right w:val="none" w:sz="0" w:space="0" w:color="auto"/>
              </w:divBdr>
              <w:divsChild>
                <w:div w:id="2121751898">
                  <w:marLeft w:val="0"/>
                  <w:marRight w:val="0"/>
                  <w:marTop w:val="0"/>
                  <w:marBottom w:val="0"/>
                  <w:divBdr>
                    <w:top w:val="none" w:sz="0" w:space="0" w:color="auto"/>
                    <w:left w:val="none" w:sz="0" w:space="0" w:color="auto"/>
                    <w:bottom w:val="none" w:sz="0" w:space="0" w:color="auto"/>
                    <w:right w:val="none" w:sz="0" w:space="0" w:color="auto"/>
                  </w:divBdr>
                  <w:divsChild>
                    <w:div w:id="12160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84882">
          <w:marLeft w:val="0"/>
          <w:marRight w:val="0"/>
          <w:marTop w:val="0"/>
          <w:marBottom w:val="0"/>
          <w:divBdr>
            <w:top w:val="none" w:sz="0" w:space="0" w:color="auto"/>
            <w:left w:val="none" w:sz="0" w:space="0" w:color="auto"/>
            <w:bottom w:val="none" w:sz="0" w:space="0" w:color="auto"/>
            <w:right w:val="none" w:sz="0" w:space="0" w:color="auto"/>
          </w:divBdr>
          <w:divsChild>
            <w:div w:id="14967257">
              <w:marLeft w:val="0"/>
              <w:marRight w:val="0"/>
              <w:marTop w:val="0"/>
              <w:marBottom w:val="0"/>
              <w:divBdr>
                <w:top w:val="none" w:sz="0" w:space="0" w:color="auto"/>
                <w:left w:val="none" w:sz="0" w:space="0" w:color="auto"/>
                <w:bottom w:val="none" w:sz="0" w:space="0" w:color="auto"/>
                <w:right w:val="none" w:sz="0" w:space="0" w:color="auto"/>
              </w:divBdr>
              <w:divsChild>
                <w:div w:id="172578462">
                  <w:marLeft w:val="0"/>
                  <w:marRight w:val="0"/>
                  <w:marTop w:val="0"/>
                  <w:marBottom w:val="0"/>
                  <w:divBdr>
                    <w:top w:val="none" w:sz="0" w:space="0" w:color="auto"/>
                    <w:left w:val="none" w:sz="0" w:space="0" w:color="auto"/>
                    <w:bottom w:val="none" w:sz="0" w:space="0" w:color="auto"/>
                    <w:right w:val="none" w:sz="0" w:space="0" w:color="auto"/>
                  </w:divBdr>
                  <w:divsChild>
                    <w:div w:id="9952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878978">
      <w:bodyDiv w:val="1"/>
      <w:marLeft w:val="0"/>
      <w:marRight w:val="0"/>
      <w:marTop w:val="0"/>
      <w:marBottom w:val="0"/>
      <w:divBdr>
        <w:top w:val="none" w:sz="0" w:space="0" w:color="auto"/>
        <w:left w:val="none" w:sz="0" w:space="0" w:color="auto"/>
        <w:bottom w:val="none" w:sz="0" w:space="0" w:color="auto"/>
        <w:right w:val="none" w:sz="0" w:space="0" w:color="auto"/>
      </w:divBdr>
      <w:divsChild>
        <w:div w:id="1481269510">
          <w:marLeft w:val="0"/>
          <w:marRight w:val="0"/>
          <w:marTop w:val="0"/>
          <w:marBottom w:val="0"/>
          <w:divBdr>
            <w:top w:val="none" w:sz="0" w:space="0" w:color="auto"/>
            <w:left w:val="none" w:sz="0" w:space="0" w:color="auto"/>
            <w:bottom w:val="none" w:sz="0" w:space="0" w:color="auto"/>
            <w:right w:val="none" w:sz="0" w:space="0" w:color="auto"/>
          </w:divBdr>
        </w:div>
      </w:divsChild>
    </w:div>
    <w:div w:id="1800491352">
      <w:bodyDiv w:val="1"/>
      <w:marLeft w:val="0"/>
      <w:marRight w:val="0"/>
      <w:marTop w:val="0"/>
      <w:marBottom w:val="0"/>
      <w:divBdr>
        <w:top w:val="none" w:sz="0" w:space="0" w:color="auto"/>
        <w:left w:val="none" w:sz="0" w:space="0" w:color="auto"/>
        <w:bottom w:val="none" w:sz="0" w:space="0" w:color="auto"/>
        <w:right w:val="none" w:sz="0" w:space="0" w:color="auto"/>
      </w:divBdr>
      <w:divsChild>
        <w:div w:id="244263560">
          <w:marLeft w:val="0"/>
          <w:marRight w:val="0"/>
          <w:marTop w:val="0"/>
          <w:marBottom w:val="0"/>
          <w:divBdr>
            <w:top w:val="none" w:sz="0" w:space="0" w:color="auto"/>
            <w:left w:val="none" w:sz="0" w:space="0" w:color="auto"/>
            <w:bottom w:val="none" w:sz="0" w:space="0" w:color="auto"/>
            <w:right w:val="none" w:sz="0" w:space="0" w:color="auto"/>
          </w:divBdr>
          <w:divsChild>
            <w:div w:id="1924601351">
              <w:marLeft w:val="0"/>
              <w:marRight w:val="0"/>
              <w:marTop w:val="0"/>
              <w:marBottom w:val="0"/>
              <w:divBdr>
                <w:top w:val="none" w:sz="0" w:space="0" w:color="auto"/>
                <w:left w:val="none" w:sz="0" w:space="0" w:color="auto"/>
                <w:bottom w:val="none" w:sz="0" w:space="0" w:color="auto"/>
                <w:right w:val="none" w:sz="0" w:space="0" w:color="auto"/>
              </w:divBdr>
              <w:divsChild>
                <w:div w:id="174542910">
                  <w:marLeft w:val="0"/>
                  <w:marRight w:val="0"/>
                  <w:marTop w:val="0"/>
                  <w:marBottom w:val="0"/>
                  <w:divBdr>
                    <w:top w:val="none" w:sz="0" w:space="0" w:color="auto"/>
                    <w:left w:val="none" w:sz="0" w:space="0" w:color="auto"/>
                    <w:bottom w:val="none" w:sz="0" w:space="0" w:color="auto"/>
                    <w:right w:val="none" w:sz="0" w:space="0" w:color="auto"/>
                  </w:divBdr>
                  <w:divsChild>
                    <w:div w:id="16331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93824">
          <w:marLeft w:val="0"/>
          <w:marRight w:val="0"/>
          <w:marTop w:val="0"/>
          <w:marBottom w:val="0"/>
          <w:divBdr>
            <w:top w:val="none" w:sz="0" w:space="0" w:color="auto"/>
            <w:left w:val="none" w:sz="0" w:space="0" w:color="auto"/>
            <w:bottom w:val="none" w:sz="0" w:space="0" w:color="auto"/>
            <w:right w:val="none" w:sz="0" w:space="0" w:color="auto"/>
          </w:divBdr>
          <w:divsChild>
            <w:div w:id="2038121907">
              <w:marLeft w:val="0"/>
              <w:marRight w:val="0"/>
              <w:marTop w:val="0"/>
              <w:marBottom w:val="0"/>
              <w:divBdr>
                <w:top w:val="none" w:sz="0" w:space="0" w:color="auto"/>
                <w:left w:val="none" w:sz="0" w:space="0" w:color="auto"/>
                <w:bottom w:val="none" w:sz="0" w:space="0" w:color="auto"/>
                <w:right w:val="none" w:sz="0" w:space="0" w:color="auto"/>
              </w:divBdr>
              <w:divsChild>
                <w:div w:id="521942677">
                  <w:marLeft w:val="0"/>
                  <w:marRight w:val="0"/>
                  <w:marTop w:val="0"/>
                  <w:marBottom w:val="0"/>
                  <w:divBdr>
                    <w:top w:val="none" w:sz="0" w:space="0" w:color="auto"/>
                    <w:left w:val="none" w:sz="0" w:space="0" w:color="auto"/>
                    <w:bottom w:val="none" w:sz="0" w:space="0" w:color="auto"/>
                    <w:right w:val="none" w:sz="0" w:space="0" w:color="auto"/>
                  </w:divBdr>
                  <w:divsChild>
                    <w:div w:id="9116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462925">
      <w:bodyDiv w:val="1"/>
      <w:marLeft w:val="0"/>
      <w:marRight w:val="0"/>
      <w:marTop w:val="0"/>
      <w:marBottom w:val="0"/>
      <w:divBdr>
        <w:top w:val="none" w:sz="0" w:space="0" w:color="auto"/>
        <w:left w:val="none" w:sz="0" w:space="0" w:color="auto"/>
        <w:bottom w:val="none" w:sz="0" w:space="0" w:color="auto"/>
        <w:right w:val="none" w:sz="0" w:space="0" w:color="auto"/>
      </w:divBdr>
      <w:divsChild>
        <w:div w:id="19011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E1B72-1AA3-4A61-A311-910FE5B49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 gurram</dc:creator>
  <cp:keywords/>
  <dc:description/>
  <cp:lastModifiedBy>lahari gurram</cp:lastModifiedBy>
  <cp:revision>1</cp:revision>
  <dcterms:created xsi:type="dcterms:W3CDTF">2025-02-19T17:24:00Z</dcterms:created>
  <dcterms:modified xsi:type="dcterms:W3CDTF">2025-02-19T17:54:00Z</dcterms:modified>
</cp:coreProperties>
</file>