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4" w:lineRule="auto"/>
      </w:pPr>
      <w:r>
        <w:rPr>
          <w:rFonts w:ascii="Calibri" w:hAnsi="Calibri"/>
          <w:b/>
          <w:i w:val="0"/>
          <w:color w:val="1F4D78"/>
          <w:sz w:val="19"/>
        </w:rPr>
        <w:t>CLIENT IMPLEMENTATION DOCUMENT</w:t>
      </w:r>
    </w:p>
    <w:p>
      <w:pPr>
        <w:spacing w:before="0" w:after="160" w:line="264" w:lineRule="auto"/>
      </w:pPr>
      <w:r>
        <w:rPr>
          <w:rFonts w:ascii="Calibri" w:hAnsi="Calibri"/>
          <w:b/>
          <w:i w:val="0"/>
          <w:color w:val="0B2545"/>
          <w:sz w:val="58"/>
        </w:rPr>
        <w:t>Warehouse Operations</w:t>
        <w:br/>
        <w:t>Application</w:t>
      </w:r>
    </w:p>
    <w:p>
      <w:pPr>
        <w:spacing w:before="0" w:after="360" w:line="264" w:lineRule="auto"/>
      </w:pPr>
      <w:r>
        <w:rPr>
          <w:rFonts w:ascii="Calibri" w:hAnsi="Calibri"/>
          <w:b w:val="0"/>
          <w:i w:val="0"/>
          <w:color w:val="5B6573"/>
          <w:sz w:val="26"/>
        </w:rPr>
        <w:t>A phased plan to replace spreadsheet-based warehouse operations across Reno and Columbus.</w:t>
      </w:r>
    </w:p>
    <w:tbl>
      <w:tblPr>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2F4F7" w:val="clear"/>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i w:val="0"/>
                <w:color w:val="1F4D78"/>
                <w:sz w:val="19"/>
              </w:rPr>
              <w:t xml:space="preserve">Scope: </w:t>
            </w:r>
            <w:r>
              <w:rPr>
                <w:rFonts w:ascii="Calibri" w:hAnsi="Calibri"/>
                <w:b w:val="0"/>
                <w:i w:val="0"/>
                <w:color w:val="0B2545"/>
                <w:sz w:val="19"/>
              </w:rPr>
              <w:t>Core warehouse software release</w:t>
            </w:r>
          </w:p>
        </w:tc>
        <w:tc>
          <w:tcPr>
            <w:tcW w:type="dxa" w:w="4680"/>
            <w:tcMar>
              <w:top w:w="80" w:type="dxa"/>
              <w:start w:w="120" w:type="dxa"/>
              <w:bottom w:w="80" w:type="dxa"/>
              <w:end w:w="120" w:type="dxa"/>
            </w:tcMar>
            <w:vAlign w:val="center"/>
            <w:shd w:fill="F2F4F7" w:val="clear"/>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i w:val="0"/>
                <w:color w:val="1F4D78"/>
                <w:sz w:val="19"/>
              </w:rPr>
              <w:t xml:space="preserve">Locations: </w:t>
            </w:r>
            <w:r>
              <w:rPr>
                <w:rFonts w:ascii="Calibri" w:hAnsi="Calibri"/>
                <w:b w:val="0"/>
                <w:i w:val="0"/>
                <w:color w:val="0B2545"/>
                <w:sz w:val="19"/>
              </w:rPr>
              <w:t>Reno and Columbus</w:t>
            </w:r>
          </w:p>
        </w:tc>
      </w:tr>
      <w:tr>
        <w:tc>
          <w:tcPr>
            <w:tcW w:type="dxa" w:w="4680"/>
            <w:tcMar>
              <w:top w:w="80" w:type="dxa"/>
              <w:start w:w="120" w:type="dxa"/>
              <w:bottom w:w="80" w:type="dxa"/>
              <w:end w:w="120" w:type="dxa"/>
            </w:tcMar>
            <w:vAlign w:val="center"/>
            <w:shd w:fill="F2F4F7" w:val="clear"/>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i w:val="0"/>
                <w:color w:val="1F4D78"/>
                <w:sz w:val="19"/>
              </w:rPr>
              <w:t xml:space="preserve">Primary outcome: </w:t>
            </w:r>
            <w:r>
              <w:rPr>
                <w:rFonts w:ascii="Calibri" w:hAnsi="Calibri"/>
                <w:b w:val="0"/>
                <w:i w:val="0"/>
                <w:color w:val="0B2545"/>
                <w:sz w:val="19"/>
              </w:rPr>
              <w:t>Accurate, auditable inventory and fulfillment</w:t>
            </w:r>
          </w:p>
        </w:tc>
        <w:tc>
          <w:tcPr>
            <w:tcW w:type="dxa" w:w="4680"/>
            <w:tcMar>
              <w:top w:w="80" w:type="dxa"/>
              <w:start w:w="120" w:type="dxa"/>
              <w:bottom w:w="80" w:type="dxa"/>
              <w:end w:w="120" w:type="dxa"/>
            </w:tcMar>
            <w:vAlign w:val="center"/>
            <w:shd w:fill="F2F4F7" w:val="clear"/>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i w:val="0"/>
                <w:color w:val="1F4D78"/>
                <w:sz w:val="19"/>
              </w:rPr>
              <w:t xml:space="preserve">Delivery approach: </w:t>
            </w:r>
            <w:r>
              <w:rPr>
                <w:rFonts w:ascii="Calibri" w:hAnsi="Calibri"/>
                <w:b w:val="0"/>
                <w:i w:val="0"/>
                <w:color w:val="0B2545"/>
                <w:sz w:val="19"/>
              </w:rPr>
              <w:t>Phased build, pilot, and controlled cutover</w:t>
            </w:r>
          </w:p>
        </w:tc>
      </w:tr>
    </w:tbl>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val="clear"/>
            <w:tcBorders>
              <w:top w:val="single" w:sz="6" w:color="C9D4E3"/>
              <w:bottom w:val="single" w:sz="6" w:color="C9D4E3"/>
              <w:start w:val="single" w:sz="6" w:color="C9D4E3"/>
              <w:end w:val="single" w:sz="6" w:color="C9D4E3"/>
            </w:tcBorders>
          </w:tcPr>
          <w:p>
            <w:pPr>
              <w:spacing w:before="0" w:after="0" w:line="264" w:lineRule="auto"/>
            </w:pPr>
            <w:r>
              <w:rPr>
                <w:rFonts w:ascii="Calibri" w:hAnsi="Calibri"/>
                <w:b/>
                <w:i w:val="0"/>
                <w:color w:val="0B2545"/>
                <w:sz w:val="22"/>
              </w:rPr>
              <w:t xml:space="preserve">Implementation commitment: </w:t>
            </w:r>
            <w:r>
              <w:rPr>
                <w:rFonts w:ascii="Calibri" w:hAnsi="Calibri"/>
                <w:b w:val="0"/>
                <w:i w:val="0"/>
                <w:color w:val="0B2545"/>
                <w:sz w:val="22"/>
              </w:rPr>
              <w:t>The application will become the operational source of truth for inventory. Warehouse stock will be derived from an auditable movement ledger rather than editable spreadsheet totals.</w:t>
            </w:r>
          </w:p>
        </w:tc>
      </w:tr>
    </w:tbl>
    <w:p>
      <w:pPr>
        <w:spacing w:before="0" w:after="40" w:line="264" w:lineRule="auto"/>
      </w:pPr>
    </w:p>
    <w:p>
      <w:pPr>
        <w:pStyle w:val="Heading1"/>
        <w:keepNext/>
        <w:spacing w:before="320" w:after="160" w:line="264" w:lineRule="auto"/>
      </w:pPr>
      <w:r>
        <w:rPr>
          <w:rFonts w:ascii="Calibri" w:hAnsi="Calibri"/>
          <w:b/>
          <w:i w:val="0"/>
          <w:color w:val="2E74B5"/>
          <w:sz w:val="32"/>
        </w:rPr>
        <w:t>1. Executive Summary</w:t>
      </w:r>
    </w:p>
    <w:p>
      <w:pPr>
        <w:spacing w:before="0" w:after="120" w:line="264" w:lineRule="auto"/>
      </w:pPr>
      <w:r>
        <w:rPr>
          <w:rFonts w:ascii="Calibri" w:hAnsi="Calibri"/>
          <w:b w:val="0"/>
          <w:i w:val="0"/>
          <w:color w:val="0B2545"/>
          <w:sz w:val="22"/>
        </w:rPr>
        <w:t>The current Excel process exposes the warehouse to duplicate receipts, oversells, inconsistent damage handling, unclear ownership of changes, and unnecessary status calls from sellers. The proposed application replaces that process with a secure, multi-warehouse operating system for receiving, inventory, orders, shipping, returns, and transfers.</w:t>
      </w:r>
    </w:p>
    <w:p>
      <w:pPr>
        <w:spacing w:before="0" w:after="120" w:line="264" w:lineRule="auto"/>
      </w:pPr>
      <w:r>
        <w:rPr>
          <w:rFonts w:ascii="Calibri" w:hAnsi="Calibri"/>
          <w:b w:val="0"/>
          <w:i w:val="0"/>
          <w:color w:val="0B2545"/>
          <w:sz w:val="22"/>
        </w:rPr>
        <w:t>The first release focuses on the controls required to make inventory trustworthy: role-based access, an immutable inventory ledger, duplicate protection, transactional order reservations, seller self-service, structured returns, and warehouse transfer tracking. Hardware and AI integrations are planned as later extensions, not prerequisites for the first release.</w:t>
      </w:r>
    </w:p>
    <w:p>
      <w:pPr>
        <w:pStyle w:val="Heading1"/>
        <w:keepNext/>
        <w:spacing w:before="320" w:after="160" w:line="264" w:lineRule="auto"/>
      </w:pPr>
      <w:r>
        <w:rPr>
          <w:rFonts w:ascii="Calibri" w:hAnsi="Calibri"/>
          <w:b/>
          <w:i w:val="0"/>
          <w:color w:val="2E74B5"/>
          <w:sz w:val="32"/>
        </w:rPr>
        <w:t>2. What We Will Implement</w:t>
      </w:r>
    </w:p>
    <w:tbl>
      <w:tblPr>
        <w:tblW w:type="dxa" w:w="9360"/>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E8EEF5" w:val="clear"/>
            <w:tcBorders>
              <w:top w:val="single" w:sz="6" w:color="C3D0DE"/>
              <w:bottom w:val="single" w:sz="6" w:color="C3D0DE"/>
              <w:start w:val="single" w:sz="6" w:color="C3D0DE"/>
              <w:end w:val="single" w:sz="6" w:color="C3D0DE"/>
            </w:tcBorders>
          </w:tcPr>
          <w:p>
            <w:pPr>
              <w:spacing w:before="0" w:after="0" w:line="240" w:lineRule="auto"/>
              <w:jc w:val="center"/>
            </w:pPr>
            <w:r>
              <w:rPr>
                <w:rFonts w:ascii="Calibri" w:hAnsi="Calibri"/>
                <w:b/>
                <w:i w:val="0"/>
                <w:color w:val="0B2545"/>
                <w:sz w:val="20"/>
              </w:rPr>
              <w:t>Receive</w:t>
            </w:r>
          </w:p>
        </w:tc>
        <w:tc>
          <w:tcPr>
            <w:tcW w:type="dxa" w:w="2340"/>
            <w:tcMar>
              <w:top w:w="80" w:type="dxa"/>
              <w:start w:w="120" w:type="dxa"/>
              <w:bottom w:w="80" w:type="dxa"/>
              <w:end w:w="120" w:type="dxa"/>
            </w:tcMar>
            <w:vAlign w:val="center"/>
            <w:shd w:fill="F2F4F7" w:val="clear"/>
            <w:tcBorders>
              <w:top w:val="single" w:sz="6" w:color="C3D0DE"/>
              <w:bottom w:val="single" w:sz="6" w:color="C3D0DE"/>
              <w:start w:val="single" w:sz="6" w:color="C3D0DE"/>
              <w:end w:val="single" w:sz="6" w:color="C3D0DE"/>
            </w:tcBorders>
          </w:tcPr>
          <w:p>
            <w:pPr>
              <w:spacing w:before="0" w:after="0" w:line="240" w:lineRule="auto"/>
              <w:jc w:val="center"/>
            </w:pPr>
            <w:r>
              <w:rPr>
                <w:rFonts w:ascii="Calibri" w:hAnsi="Calibri"/>
                <w:b/>
                <w:i w:val="0"/>
                <w:color w:val="0B2545"/>
                <w:sz w:val="20"/>
              </w:rPr>
              <w:t>Control inventory</w:t>
            </w:r>
          </w:p>
        </w:tc>
        <w:tc>
          <w:tcPr>
            <w:tcW w:type="dxa" w:w="2340"/>
            <w:tcMar>
              <w:top w:w="80" w:type="dxa"/>
              <w:start w:w="120" w:type="dxa"/>
              <w:bottom w:w="80" w:type="dxa"/>
              <w:end w:w="120" w:type="dxa"/>
            </w:tcMar>
            <w:vAlign w:val="center"/>
            <w:shd w:fill="F2F4F7" w:val="clear"/>
            <w:tcBorders>
              <w:top w:val="single" w:sz="6" w:color="C3D0DE"/>
              <w:bottom w:val="single" w:sz="6" w:color="C3D0DE"/>
              <w:start w:val="single" w:sz="6" w:color="C3D0DE"/>
              <w:end w:val="single" w:sz="6" w:color="C3D0DE"/>
            </w:tcBorders>
          </w:tcPr>
          <w:p>
            <w:pPr>
              <w:spacing w:before="0" w:after="0" w:line="240" w:lineRule="auto"/>
              <w:jc w:val="center"/>
            </w:pPr>
            <w:r>
              <w:rPr>
                <w:rFonts w:ascii="Calibri" w:hAnsi="Calibri"/>
                <w:b/>
                <w:i w:val="0"/>
                <w:color w:val="0B2545"/>
                <w:sz w:val="20"/>
              </w:rPr>
              <w:t>Fulfill orders</w:t>
            </w:r>
          </w:p>
        </w:tc>
        <w:tc>
          <w:tcPr>
            <w:tcW w:type="dxa" w:w="2340"/>
            <w:tcMar>
              <w:top w:w="80" w:type="dxa"/>
              <w:start w:w="120" w:type="dxa"/>
              <w:bottom w:w="80" w:type="dxa"/>
              <w:end w:w="120" w:type="dxa"/>
            </w:tcMar>
            <w:vAlign w:val="center"/>
            <w:shd w:fill="E8EEF5" w:val="clear"/>
            <w:tcBorders>
              <w:top w:val="single" w:sz="6" w:color="C3D0DE"/>
              <w:bottom w:val="single" w:sz="6" w:color="C3D0DE"/>
              <w:start w:val="single" w:sz="6" w:color="C3D0DE"/>
              <w:end w:val="single" w:sz="6" w:color="C3D0DE"/>
            </w:tcBorders>
          </w:tcPr>
          <w:p>
            <w:pPr>
              <w:spacing w:before="0" w:after="0" w:line="240" w:lineRule="auto"/>
              <w:jc w:val="center"/>
            </w:pPr>
            <w:r>
              <w:rPr>
                <w:rFonts w:ascii="Calibri" w:hAnsi="Calibri"/>
                <w:b/>
                <w:i w:val="0"/>
                <w:color w:val="0B2545"/>
                <w:sz w:val="20"/>
              </w:rPr>
              <w:t>Give sellers visibility</w:t>
            </w:r>
          </w:p>
        </w:tc>
      </w:tr>
    </w:tbl>
    <w:p/>
    <w:p>
      <w:pPr>
        <w:pStyle w:val="ListBullet"/>
        <w:spacing w:before="0" w:after="80" w:line="280" w:lineRule="auto"/>
        <w:ind w:left="720" w:hanging="360"/>
      </w:pPr>
      <w:r>
        <w:rPr>
          <w:rFonts w:ascii="Calibri" w:hAnsi="Calibri"/>
          <w:b w:val="0"/>
          <w:i w:val="0"/>
          <w:color w:val="0B2545"/>
          <w:sz w:val="22"/>
        </w:rPr>
        <w:t>One central inventory application for Reno and Columbus, replacing separate warehouse spreadsheets.</w:t>
      </w:r>
    </w:p>
    <w:p>
      <w:pPr>
        <w:pStyle w:val="ListBullet"/>
        <w:spacing w:before="0" w:after="80" w:line="280" w:lineRule="auto"/>
        <w:ind w:left="720" w:hanging="360"/>
      </w:pPr>
      <w:r>
        <w:rPr>
          <w:rFonts w:ascii="Calibri" w:hAnsi="Calibri"/>
          <w:b w:val="0"/>
          <w:i w:val="0"/>
          <w:color w:val="0B2545"/>
          <w:sz w:val="22"/>
        </w:rPr>
        <w:t>Secure access for warehouse staff, managers, administrators, and sellers, with each seller restricted to their own information.</w:t>
      </w:r>
    </w:p>
    <w:p>
      <w:pPr>
        <w:pStyle w:val="ListBullet"/>
        <w:spacing w:before="0" w:after="80" w:line="280" w:lineRule="auto"/>
        <w:ind w:left="720" w:hanging="360"/>
      </w:pPr>
      <w:r>
        <w:rPr>
          <w:rFonts w:ascii="Calibri" w:hAnsi="Calibri"/>
          <w:b w:val="0"/>
          <w:i w:val="0"/>
          <w:color w:val="0B2545"/>
          <w:sz w:val="22"/>
        </w:rPr>
        <w:t>A permanent stock-movement ledger that records who changed inventory, why, when, and through which workflow.</w:t>
      </w:r>
    </w:p>
    <w:p>
      <w:pPr>
        <w:pStyle w:val="ListBullet"/>
        <w:spacing w:before="0" w:after="80" w:line="280" w:lineRule="auto"/>
        <w:ind w:left="720" w:hanging="360"/>
      </w:pPr>
      <w:r>
        <w:rPr>
          <w:rFonts w:ascii="Calibri" w:hAnsi="Calibri"/>
          <w:b w:val="0"/>
          <w:i w:val="0"/>
          <w:color w:val="0B2545"/>
          <w:sz w:val="22"/>
        </w:rPr>
        <w:t>Receiving, order reservation, fulfillment, returns, transfers, seller visibility, and manager exception reporting.</w:t>
      </w:r>
    </w:p>
    <w:p>
      <w:pPr>
        <w:pStyle w:val="ListBullet"/>
        <w:spacing w:before="0" w:after="80" w:line="280" w:lineRule="auto"/>
        <w:ind w:left="720" w:hanging="360"/>
      </w:pPr>
      <w:r>
        <w:rPr>
          <w:rFonts w:ascii="Calibri" w:hAnsi="Calibri"/>
          <w:b w:val="0"/>
          <w:i w:val="0"/>
          <w:color w:val="0B2545"/>
          <w:sz w:val="22"/>
        </w:rPr>
        <w:t>A browser-based application with offline-safe receipt drafting for short connectivity interruptions.</w:t>
      </w:r>
    </w:p>
    <w:p>
      <w:pPr>
        <w:pStyle w:val="Heading1"/>
        <w:keepNext/>
        <w:spacing w:before="320" w:after="160" w:line="264" w:lineRule="auto"/>
      </w:pPr>
      <w:r>
        <w:rPr>
          <w:rFonts w:ascii="Calibri" w:hAnsi="Calibri"/>
          <w:b/>
          <w:i w:val="0"/>
          <w:color w:val="2E74B5"/>
          <w:sz w:val="32"/>
        </w:rPr>
        <w:t>3. Core Operating Controls</w:t>
      </w:r>
    </w:p>
    <w:p>
      <w:pPr>
        <w:pStyle w:val="Heading2"/>
        <w:keepNext/>
        <w:spacing w:before="240" w:after="120" w:line="264" w:lineRule="auto"/>
      </w:pPr>
      <w:r>
        <w:rPr>
          <w:rFonts w:ascii="Calibri" w:hAnsi="Calibri"/>
          <w:b/>
          <w:i w:val="0"/>
          <w:color w:val="2E74B5"/>
          <w:sz w:val="26"/>
        </w:rPr>
        <w:t>Inventory is a ledger, not an editable total</w:t>
      </w:r>
    </w:p>
    <w:p>
      <w:pPr>
        <w:spacing w:before="0" w:after="120" w:line="264" w:lineRule="auto"/>
      </w:pPr>
      <w:r>
        <w:rPr>
          <w:rFonts w:ascii="Calibri" w:hAnsi="Calibri"/>
          <w:b w:val="0"/>
          <w:i w:val="0"/>
          <w:color w:val="0B2545"/>
          <w:sz w:val="22"/>
        </w:rPr>
        <w:t>Inventory will not be changed by typing over a stock number. Instead, each action creates a stock movement. The application maintains the current balance for fast lookup and keeps the movement history as the authoritative explanation of how that balance was reached.</w:t>
      </w:r>
    </w:p>
    <w:tbl>
      <w:tblPr>
        <w:tblW w:type="dxa" w:w="9360"/>
        <w:tblLayout w:type="fixed"/>
        <w:tblLook w:firstColumn="1" w:firstRow="1" w:lastColumn="0" w:lastRow="0" w:noHBand="0" w:noVBand="1" w:val="04A0"/>
        <w:tblInd w:w="120" w:type="dxa"/>
      </w:tblPr>
      <w:tblGrid>
        <w:gridCol w:w="2520"/>
        <w:gridCol w:w="3240"/>
        <w:gridCol w:w="3600"/>
      </w:tblGrid>
      <w:tr>
        <w:trPr>
          <w:tblHeader w:val="true"/>
        </w:trPr>
        <w:tc>
          <w:tcPr>
            <w:tcW w:type="dxa" w:w="2520"/>
            <w:tcMar>
              <w:top w:w="80" w:type="dxa"/>
              <w:start w:w="120" w:type="dxa"/>
              <w:bottom w:w="80" w:type="dxa"/>
              <w:end w:w="120" w:type="dxa"/>
            </w:tcMar>
            <w:vAlign w:val="center"/>
            <w:shd w:fill="E8EEF5" w:val="clear"/>
            <w:tcBorders>
              <w:top w:val="single" w:sz="6" w:color="B9C8D8"/>
              <w:bottom w:val="single" w:sz="6" w:color="B9C8D8"/>
              <w:start w:val="single" w:sz="6" w:color="B9C8D8"/>
              <w:end w:val="single" w:sz="6" w:color="B9C8D8"/>
            </w:tcBorders>
          </w:tcPr>
          <w:p>
            <w:pPr>
              <w:spacing w:before="0" w:after="0" w:line="240" w:lineRule="auto"/>
              <w:jc w:val="left"/>
            </w:pPr>
            <w:r>
              <w:rPr>
                <w:rFonts w:ascii="Calibri" w:hAnsi="Calibri"/>
                <w:b/>
                <w:i w:val="0"/>
                <w:color w:val="0B2545"/>
                <w:sz w:val="20"/>
              </w:rPr>
              <w:t>Operational event</w:t>
            </w:r>
          </w:p>
        </w:tc>
        <w:tc>
          <w:tcPr>
            <w:tcW w:type="dxa" w:w="3240"/>
            <w:tcMar>
              <w:top w:w="80" w:type="dxa"/>
              <w:start w:w="120" w:type="dxa"/>
              <w:bottom w:w="80" w:type="dxa"/>
              <w:end w:w="120" w:type="dxa"/>
            </w:tcMar>
            <w:vAlign w:val="center"/>
            <w:shd w:fill="E8EEF5" w:val="clear"/>
            <w:tcBorders>
              <w:top w:val="single" w:sz="6" w:color="B9C8D8"/>
              <w:bottom w:val="single" w:sz="6" w:color="B9C8D8"/>
              <w:start w:val="single" w:sz="6" w:color="B9C8D8"/>
              <w:end w:val="single" w:sz="6" w:color="B9C8D8"/>
            </w:tcBorders>
          </w:tcPr>
          <w:p>
            <w:pPr>
              <w:spacing w:before="0" w:after="0" w:line="240" w:lineRule="auto"/>
              <w:jc w:val="left"/>
            </w:pPr>
            <w:r>
              <w:rPr>
                <w:rFonts w:ascii="Calibri" w:hAnsi="Calibri"/>
                <w:b/>
                <w:i w:val="0"/>
                <w:color w:val="0B2545"/>
                <w:sz w:val="20"/>
              </w:rPr>
              <w:t>Inventory effect</w:t>
            </w:r>
          </w:p>
        </w:tc>
        <w:tc>
          <w:tcPr>
            <w:tcW w:type="dxa" w:w="3600"/>
            <w:tcMar>
              <w:top w:w="80" w:type="dxa"/>
              <w:start w:w="120" w:type="dxa"/>
              <w:bottom w:w="80" w:type="dxa"/>
              <w:end w:w="120" w:type="dxa"/>
            </w:tcMar>
            <w:vAlign w:val="center"/>
            <w:shd w:fill="E8EEF5" w:val="clear"/>
            <w:tcBorders>
              <w:top w:val="single" w:sz="6" w:color="B9C8D8"/>
              <w:bottom w:val="single" w:sz="6" w:color="B9C8D8"/>
              <w:start w:val="single" w:sz="6" w:color="B9C8D8"/>
              <w:end w:val="single" w:sz="6" w:color="B9C8D8"/>
            </w:tcBorders>
          </w:tcPr>
          <w:p>
            <w:pPr>
              <w:spacing w:before="0" w:after="0" w:line="240" w:lineRule="auto"/>
              <w:jc w:val="left"/>
            </w:pPr>
            <w:r>
              <w:rPr>
                <w:rFonts w:ascii="Calibri" w:hAnsi="Calibri"/>
                <w:b/>
                <w:i w:val="0"/>
                <w:color w:val="0B2545"/>
                <w:sz w:val="20"/>
              </w:rPr>
              <w:t>Control</w:t>
            </w:r>
          </w:p>
        </w:tc>
      </w:tr>
      <w:tr>
        <w:tc>
          <w:tcPr>
            <w:tcW w:type="dxa" w:w="252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Receipt completed</w:t>
            </w:r>
          </w:p>
        </w:tc>
        <w:tc>
          <w:tcPr>
            <w:tcW w:type="dxa" w:w="32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Adds sellable or exception inventory</w:t>
            </w:r>
          </w:p>
        </w:tc>
        <w:tc>
          <w:tcPr>
            <w:tcW w:type="dxa" w:w="360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Tracking/ticket duplicate checks</w:t>
            </w:r>
          </w:p>
        </w:tc>
      </w:tr>
      <w:tr>
        <w:tc>
          <w:tcPr>
            <w:tcW w:type="dxa" w:w="252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Order confirmed</w:t>
            </w:r>
          </w:p>
        </w:tc>
        <w:tc>
          <w:tcPr>
            <w:tcW w:type="dxa" w:w="32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Moves stock from available to reserved</w:t>
            </w:r>
          </w:p>
        </w:tc>
        <w:tc>
          <w:tcPr>
            <w:tcW w:type="dxa" w:w="360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Atomic reservation; prevents oversell</w:t>
            </w:r>
          </w:p>
        </w:tc>
      </w:tr>
      <w:tr>
        <w:tc>
          <w:tcPr>
            <w:tcW w:type="dxa" w:w="252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Shipment completed</w:t>
            </w:r>
          </w:p>
        </w:tc>
        <w:tc>
          <w:tcPr>
            <w:tcW w:type="dxa" w:w="32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Removes reserved stock from fulfillment queue</w:t>
            </w:r>
          </w:p>
        </w:tc>
        <w:tc>
          <w:tcPr>
            <w:tcW w:type="dxa" w:w="360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Order and tracking history retained</w:t>
            </w:r>
          </w:p>
        </w:tc>
      </w:tr>
      <w:tr>
        <w:tc>
          <w:tcPr>
            <w:tcW w:type="dxa" w:w="252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Return inspected</w:t>
            </w:r>
          </w:p>
        </w:tc>
        <w:tc>
          <w:tcPr>
            <w:tcW w:type="dxa" w:w="32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Moves units to available, damaged, or quarantine</w:t>
            </w:r>
          </w:p>
        </w:tc>
        <w:tc>
          <w:tcPr>
            <w:tcW w:type="dxa" w:w="360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No automatic restock</w:t>
            </w:r>
          </w:p>
        </w:tc>
      </w:tr>
      <w:tr>
        <w:tc>
          <w:tcPr>
            <w:tcW w:type="dxa" w:w="252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Transfer dispatched</w:t>
            </w:r>
          </w:p>
        </w:tc>
        <w:tc>
          <w:tcPr>
            <w:tcW w:type="dxa" w:w="32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Moves stock to in transit</w:t>
            </w:r>
          </w:p>
        </w:tc>
        <w:tc>
          <w:tcPr>
            <w:tcW w:type="dxa" w:w="360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Not sellable at either warehouse</w:t>
            </w:r>
          </w:p>
        </w:tc>
      </w:tr>
      <w:tr>
        <w:tc>
          <w:tcPr>
            <w:tcW w:type="dxa" w:w="252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Adjustment approved</w:t>
            </w:r>
          </w:p>
        </w:tc>
        <w:tc>
          <w:tcPr>
            <w:tcW w:type="dxa" w:w="32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Creates an explained correction</w:t>
            </w:r>
          </w:p>
        </w:tc>
        <w:tc>
          <w:tcPr>
            <w:tcW w:type="dxa" w:w="360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Reason, user, and manager approval captured</w:t>
            </w:r>
          </w:p>
        </w:tc>
      </w:tr>
    </w:tbl>
    <w:p/>
    <w:p>
      <w:pPr>
        <w:pStyle w:val="Heading2"/>
        <w:keepNext/>
        <w:spacing w:before="240" w:after="120" w:line="264" w:lineRule="auto"/>
      </w:pPr>
      <w:r>
        <w:rPr>
          <w:rFonts w:ascii="Calibri" w:hAnsi="Calibri"/>
          <w:b/>
          <w:i w:val="0"/>
          <w:color w:val="2E74B5"/>
          <w:sz w:val="26"/>
        </w:rPr>
        <w:t>Concurrent orders</w:t>
      </w:r>
    </w:p>
    <w:p>
      <w:pPr>
        <w:spacing w:before="0" w:after="120" w:line="264" w:lineRule="auto"/>
      </w:pPr>
      <w:r>
        <w:rPr>
          <w:rFonts w:ascii="Calibri" w:hAnsi="Calibri"/>
          <w:b w:val="0"/>
          <w:i w:val="0"/>
          <w:color w:val="0B2545"/>
          <w:sz w:val="22"/>
        </w:rPr>
        <w:t>When two users attempt to confirm the last available units at the same time, the application accepts only the order that successfully reserves inventory first. The other user sees a clear operational message and is offered the next allowed action - backorder, await seller decision, partial fulfillment, or cancellation - according to that seller's policy.</w:t>
      </w:r>
    </w:p>
    <w:p>
      <w:pPr>
        <w:pStyle w:val="Heading1"/>
        <w:keepNext/>
        <w:spacing w:before="320" w:after="160" w:line="264" w:lineRule="auto"/>
      </w:pPr>
      <w:r>
        <w:rPr>
          <w:rFonts w:ascii="Calibri" w:hAnsi="Calibri"/>
          <w:b/>
          <w:i w:val="0"/>
          <w:color w:val="2E74B5"/>
          <w:sz w:val="32"/>
        </w:rPr>
        <w:t>4. Application Roles and Visibility</w:t>
      </w:r>
    </w:p>
    <w:tbl>
      <w:tblPr>
        <w:tblW w:type="dxa" w:w="9360"/>
        <w:tblLayout w:type="fixed"/>
        <w:tblLook w:firstColumn="1" w:firstRow="1" w:lastColumn="0" w:lastRow="0" w:noHBand="0" w:noVBand="1" w:val="04A0"/>
        <w:tblInd w:w="120" w:type="dxa"/>
      </w:tblPr>
      <w:tblGrid>
        <w:gridCol w:w="1980"/>
        <w:gridCol w:w="4140"/>
        <w:gridCol w:w="3240"/>
      </w:tblGrid>
      <w:tr>
        <w:trPr>
          <w:tblHeader w:val="true"/>
        </w:trPr>
        <w:tc>
          <w:tcPr>
            <w:tcW w:type="dxa" w:w="1980"/>
            <w:tcMar>
              <w:top w:w="80" w:type="dxa"/>
              <w:start w:w="120" w:type="dxa"/>
              <w:bottom w:w="80" w:type="dxa"/>
              <w:end w:w="120" w:type="dxa"/>
            </w:tcMar>
            <w:vAlign w:val="center"/>
            <w:shd w:fill="E8EEF5" w:val="clear"/>
            <w:tcBorders>
              <w:top w:val="single" w:sz="6" w:color="B9C8D8"/>
              <w:bottom w:val="single" w:sz="6" w:color="B9C8D8"/>
              <w:start w:val="single" w:sz="6" w:color="B9C8D8"/>
              <w:end w:val="single" w:sz="6" w:color="B9C8D8"/>
            </w:tcBorders>
          </w:tcPr>
          <w:p>
            <w:pPr>
              <w:spacing w:before="0" w:after="0" w:line="240" w:lineRule="auto"/>
              <w:jc w:val="left"/>
            </w:pPr>
            <w:r>
              <w:rPr>
                <w:rFonts w:ascii="Calibri" w:hAnsi="Calibri"/>
                <w:b/>
                <w:i w:val="0"/>
                <w:color w:val="0B2545"/>
                <w:sz w:val="20"/>
              </w:rPr>
              <w:t>Role</w:t>
            </w:r>
          </w:p>
        </w:tc>
        <w:tc>
          <w:tcPr>
            <w:tcW w:type="dxa" w:w="4140"/>
            <w:tcMar>
              <w:top w:w="80" w:type="dxa"/>
              <w:start w:w="120" w:type="dxa"/>
              <w:bottom w:w="80" w:type="dxa"/>
              <w:end w:w="120" w:type="dxa"/>
            </w:tcMar>
            <w:vAlign w:val="center"/>
            <w:shd w:fill="E8EEF5" w:val="clear"/>
            <w:tcBorders>
              <w:top w:val="single" w:sz="6" w:color="B9C8D8"/>
              <w:bottom w:val="single" w:sz="6" w:color="B9C8D8"/>
              <w:start w:val="single" w:sz="6" w:color="B9C8D8"/>
              <w:end w:val="single" w:sz="6" w:color="B9C8D8"/>
            </w:tcBorders>
          </w:tcPr>
          <w:p>
            <w:pPr>
              <w:spacing w:before="0" w:after="0" w:line="240" w:lineRule="auto"/>
              <w:jc w:val="left"/>
            </w:pPr>
            <w:r>
              <w:rPr>
                <w:rFonts w:ascii="Calibri" w:hAnsi="Calibri"/>
                <w:b/>
                <w:i w:val="0"/>
                <w:color w:val="0B2545"/>
                <w:sz w:val="20"/>
              </w:rPr>
              <w:t>Primary access</w:t>
            </w:r>
          </w:p>
        </w:tc>
        <w:tc>
          <w:tcPr>
            <w:tcW w:type="dxa" w:w="3240"/>
            <w:tcMar>
              <w:top w:w="80" w:type="dxa"/>
              <w:start w:w="120" w:type="dxa"/>
              <w:bottom w:w="80" w:type="dxa"/>
              <w:end w:w="120" w:type="dxa"/>
            </w:tcMar>
            <w:vAlign w:val="center"/>
            <w:shd w:fill="E8EEF5" w:val="clear"/>
            <w:tcBorders>
              <w:top w:val="single" w:sz="6" w:color="B9C8D8"/>
              <w:bottom w:val="single" w:sz="6" w:color="B9C8D8"/>
              <w:start w:val="single" w:sz="6" w:color="B9C8D8"/>
              <w:end w:val="single" w:sz="6" w:color="B9C8D8"/>
            </w:tcBorders>
          </w:tcPr>
          <w:p>
            <w:pPr>
              <w:spacing w:before="0" w:after="0" w:line="240" w:lineRule="auto"/>
              <w:jc w:val="left"/>
            </w:pPr>
            <w:r>
              <w:rPr>
                <w:rFonts w:ascii="Calibri" w:hAnsi="Calibri"/>
                <w:b/>
                <w:i w:val="0"/>
                <w:color w:val="0B2545"/>
                <w:sz w:val="20"/>
              </w:rPr>
              <w:t>Key restriction</w:t>
            </w:r>
          </w:p>
        </w:tc>
      </w:tr>
      <w:tr>
        <w:tc>
          <w:tcPr>
            <w:tcW w:type="dxa" w:w="198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Receiver</w:t>
            </w:r>
          </w:p>
        </w:tc>
        <w:tc>
          <w:tcPr>
            <w:tcW w:type="dxa" w:w="41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Create and complete receipts; record quantity, damage, and holds</w:t>
            </w:r>
          </w:p>
        </w:tc>
        <w:tc>
          <w:tcPr>
            <w:tcW w:type="dxa" w:w="32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Cannot approve major adjustments or transfer exceptions</w:t>
            </w:r>
          </w:p>
        </w:tc>
      </w:tr>
      <w:tr>
        <w:tc>
          <w:tcPr>
            <w:tcW w:type="dxa" w:w="198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Picker/Packer</w:t>
            </w:r>
          </w:p>
        </w:tc>
        <w:tc>
          <w:tcPr>
            <w:tcW w:type="dxa" w:w="41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Pick orders, record packing data, and update fulfillment progress</w:t>
            </w:r>
          </w:p>
        </w:tc>
        <w:tc>
          <w:tcPr>
            <w:tcW w:type="dxa" w:w="32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Cannot change inventory totals or seller policies</w:t>
            </w:r>
          </w:p>
        </w:tc>
      </w:tr>
      <w:tr>
        <w:tc>
          <w:tcPr>
            <w:tcW w:type="dxa" w:w="198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Warehouse Manager</w:t>
            </w:r>
          </w:p>
        </w:tc>
        <w:tc>
          <w:tcPr>
            <w:tcW w:type="dxa" w:w="41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Approve adjustments, resolve exceptions, manage returns and transfers</w:t>
            </w:r>
          </w:p>
        </w:tc>
        <w:tc>
          <w:tcPr>
            <w:tcW w:type="dxa" w:w="32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Limited to assigned warehouse(s) unless explicitly granted broader access</w:t>
            </w:r>
          </w:p>
        </w:tc>
      </w:tr>
      <w:tr>
        <w:tc>
          <w:tcPr>
            <w:tcW w:type="dxa" w:w="198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Seller</w:t>
            </w:r>
          </w:p>
        </w:tc>
        <w:tc>
          <w:tcPr>
            <w:tcW w:type="dxa" w:w="41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View own stock, receipts, orders, shipments, returns, and expected returns</w:t>
            </w:r>
          </w:p>
        </w:tc>
        <w:tc>
          <w:tcPr>
            <w:tcW w:type="dxa" w:w="32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Read-only warehouse data; no access to another seller's records</w:t>
            </w:r>
          </w:p>
        </w:tc>
      </w:tr>
      <w:tr>
        <w:tc>
          <w:tcPr>
            <w:tcW w:type="dxa" w:w="198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Administrator</w:t>
            </w:r>
          </w:p>
        </w:tc>
        <w:tc>
          <w:tcPr>
            <w:tcW w:type="dxa" w:w="41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Manage users, sellers, products, warehouses, and configuration</w:t>
            </w:r>
          </w:p>
        </w:tc>
        <w:tc>
          <w:tcPr>
            <w:tcW w:type="dxa" w:w="324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Administrative actions remain audit logged</w:t>
            </w:r>
          </w:p>
        </w:tc>
      </w:tr>
    </w:tbl>
    <w:p/>
    <w:p>
      <w:pPr>
        <w:pStyle w:val="Heading1"/>
        <w:keepNext/>
        <w:spacing w:before="320" w:after="160" w:line="264" w:lineRule="auto"/>
      </w:pPr>
      <w:r>
        <w:rPr>
          <w:rFonts w:ascii="Calibri" w:hAnsi="Calibri"/>
          <w:b/>
          <w:i w:val="0"/>
          <w:color w:val="2E74B5"/>
          <w:sz w:val="32"/>
        </w:rPr>
        <w:t>5. Phased Software Delivery</w:t>
      </w:r>
    </w:p>
    <w:p>
      <w:pPr>
        <w:pStyle w:val="Heading2"/>
        <w:keepNext/>
        <w:spacing w:before="240" w:after="120" w:line="264" w:lineRule="auto"/>
      </w:pPr>
      <w:r>
        <w:rPr>
          <w:rFonts w:ascii="Calibri" w:hAnsi="Calibri"/>
          <w:b/>
          <w:i w:val="0"/>
          <w:color w:val="2E74B5"/>
          <w:sz w:val="26"/>
        </w:rPr>
        <w:t>Phase 1 - Foundation, access, and master data</w:t>
      </w:r>
    </w:p>
    <w:p>
      <w:pPr>
        <w:pStyle w:val="ListBullet"/>
        <w:spacing w:before="0" w:after="80" w:line="280" w:lineRule="auto"/>
        <w:ind w:left="720" w:hanging="360"/>
      </w:pPr>
      <w:r>
        <w:rPr>
          <w:rFonts w:ascii="Calibri" w:hAnsi="Calibri"/>
          <w:b w:val="0"/>
          <w:i w:val="0"/>
          <w:color w:val="0B2545"/>
          <w:sz w:val="22"/>
        </w:rPr>
        <w:t>Deploy the FastAPI/Python application foundation, PostgreSQL database, secure login, audit logging, and monitoring.</w:t>
      </w:r>
    </w:p>
    <w:p>
      <w:pPr>
        <w:pStyle w:val="ListBullet"/>
        <w:spacing w:before="0" w:after="80" w:line="280" w:lineRule="auto"/>
        <w:ind w:left="720" w:hanging="360"/>
      </w:pPr>
      <w:r>
        <w:rPr>
          <w:rFonts w:ascii="Calibri" w:hAnsi="Calibri"/>
          <w:b w:val="0"/>
          <w:i w:val="0"/>
          <w:color w:val="0B2545"/>
          <w:sz w:val="22"/>
        </w:rPr>
        <w:t>Create sellers, users, warehouses, products, UPCs, locations, and configurable seller policies.</w:t>
      </w:r>
    </w:p>
    <w:p>
      <w:pPr>
        <w:pStyle w:val="ListBullet"/>
        <w:spacing w:before="0" w:after="80" w:line="280" w:lineRule="auto"/>
        <w:ind w:left="720" w:hanging="360"/>
      </w:pPr>
      <w:r>
        <w:rPr>
          <w:rFonts w:ascii="Calibri" w:hAnsi="Calibri"/>
          <w:b w:val="0"/>
          <w:i w:val="0"/>
          <w:color w:val="0B2545"/>
          <w:sz w:val="22"/>
        </w:rPr>
        <w:t>Implement role, warehouse, and seller data boundaries before operational records are introduced.</w:t>
      </w:r>
    </w:p>
    <w:p>
      <w:pPr>
        <w:pStyle w:val="Heading2"/>
        <w:keepNext/>
        <w:spacing w:before="240" w:after="120" w:line="264" w:lineRule="auto"/>
      </w:pPr>
      <w:r>
        <w:rPr>
          <w:rFonts w:ascii="Calibri" w:hAnsi="Calibri"/>
          <w:b/>
          <w:i w:val="0"/>
          <w:color w:val="2E74B5"/>
          <w:sz w:val="26"/>
        </w:rPr>
        <w:t>Phase 2 - Inventory ledger and receiving</w:t>
      </w:r>
    </w:p>
    <w:p>
      <w:pPr>
        <w:pStyle w:val="ListBullet"/>
        <w:spacing w:before="0" w:after="80" w:line="280" w:lineRule="auto"/>
        <w:ind w:left="720" w:hanging="360"/>
      </w:pPr>
      <w:r>
        <w:rPr>
          <w:rFonts w:ascii="Calibri" w:hAnsi="Calibri"/>
          <w:b w:val="0"/>
          <w:i w:val="0"/>
          <w:color w:val="0B2545"/>
          <w:sz w:val="22"/>
        </w:rPr>
        <w:t>Create immutable inventory movement records and live inventory balances by seller, SKU, warehouse, and state.</w:t>
      </w:r>
    </w:p>
    <w:p>
      <w:pPr>
        <w:pStyle w:val="ListBullet"/>
        <w:spacing w:before="0" w:after="80" w:line="280" w:lineRule="auto"/>
        <w:ind w:left="720" w:hanging="360"/>
      </w:pPr>
      <w:r>
        <w:rPr>
          <w:rFonts w:ascii="Calibri" w:hAnsi="Calibri"/>
          <w:b w:val="0"/>
          <w:i w:val="0"/>
          <w:color w:val="0B2545"/>
          <w:sz w:val="22"/>
        </w:rPr>
        <w:t>Build carrier-tracking and seller-ticket receipt workflows, including drafts, completion, cancellation, damage, hold, shortage, and overage recording.</w:t>
      </w:r>
    </w:p>
    <w:p>
      <w:pPr>
        <w:pStyle w:val="ListBullet"/>
        <w:spacing w:before="0" w:after="80" w:line="280" w:lineRule="auto"/>
        <w:ind w:left="720" w:hanging="360"/>
      </w:pPr>
      <w:r>
        <w:rPr>
          <w:rFonts w:ascii="Calibri" w:hAnsi="Calibri"/>
          <w:b w:val="0"/>
          <w:i w:val="0"/>
          <w:color w:val="0B2545"/>
          <w:sz w:val="22"/>
        </w:rPr>
        <w:t>Prevent duplicate completed receipts and require manager-approved reasons for exceptional overrides.</w:t>
      </w:r>
    </w:p>
    <w:p>
      <w:pPr>
        <w:pStyle w:val="Heading2"/>
        <w:keepNext/>
        <w:spacing w:before="240" w:after="120" w:line="264" w:lineRule="auto"/>
      </w:pPr>
      <w:r>
        <w:rPr>
          <w:rFonts w:ascii="Calibri" w:hAnsi="Calibri"/>
          <w:b/>
          <w:i w:val="0"/>
          <w:color w:val="2E74B5"/>
          <w:sz w:val="26"/>
        </w:rPr>
        <w:t>Phase 3 - Orders and fulfillment</w:t>
      </w:r>
    </w:p>
    <w:p>
      <w:pPr>
        <w:pStyle w:val="ListBullet"/>
        <w:spacing w:before="0" w:after="80" w:line="280" w:lineRule="auto"/>
        <w:ind w:left="720" w:hanging="360"/>
      </w:pPr>
      <w:r>
        <w:rPr>
          <w:rFonts w:ascii="Calibri" w:hAnsi="Calibri"/>
          <w:b w:val="0"/>
          <w:i w:val="0"/>
          <w:color w:val="0B2545"/>
          <w:sz w:val="22"/>
        </w:rPr>
        <w:t>Create or import orders, reserve inventory transactionally, and apply each seller's backorder/partial-fulfillment policy.</w:t>
      </w:r>
    </w:p>
    <w:p>
      <w:pPr>
        <w:pStyle w:val="ListBullet"/>
        <w:spacing w:before="0" w:after="80" w:line="280" w:lineRule="auto"/>
        <w:ind w:left="720" w:hanging="360"/>
      </w:pPr>
      <w:r>
        <w:rPr>
          <w:rFonts w:ascii="Calibri" w:hAnsi="Calibri"/>
          <w:b w:val="0"/>
          <w:i w:val="0"/>
          <w:color w:val="0B2545"/>
          <w:sz w:val="22"/>
        </w:rPr>
        <w:t>Build pick, pack, shipment, manual tracking, short-pick, and fulfillment exception workflows.</w:t>
      </w:r>
    </w:p>
    <w:p>
      <w:pPr>
        <w:pStyle w:val="ListBullet"/>
        <w:spacing w:before="0" w:after="80" w:line="280" w:lineRule="auto"/>
        <w:ind w:left="720" w:hanging="360"/>
      </w:pPr>
      <w:r>
        <w:rPr>
          <w:rFonts w:ascii="Calibri" w:hAnsi="Calibri"/>
          <w:b w:val="0"/>
          <w:i w:val="0"/>
          <w:color w:val="0B2545"/>
          <w:sz w:val="22"/>
        </w:rPr>
        <w:t>Expose order and shipment status to the seller portal without requiring warehouse staff to search spreadsheets.</w:t>
      </w:r>
    </w:p>
    <w:p>
      <w:pPr>
        <w:pStyle w:val="Heading2"/>
        <w:keepNext/>
        <w:spacing w:before="240" w:after="120" w:line="264" w:lineRule="auto"/>
      </w:pPr>
      <w:r>
        <w:rPr>
          <w:rFonts w:ascii="Calibri" w:hAnsi="Calibri"/>
          <w:b/>
          <w:i w:val="0"/>
          <w:color w:val="2E74B5"/>
          <w:sz w:val="26"/>
        </w:rPr>
        <w:t>Phase 4 - Transfers, returns, and operational visibility</w:t>
      </w:r>
    </w:p>
    <w:p>
      <w:pPr>
        <w:pStyle w:val="ListBullet"/>
        <w:spacing w:before="0" w:after="80" w:line="280" w:lineRule="auto"/>
        <w:ind w:left="720" w:hanging="360"/>
      </w:pPr>
      <w:r>
        <w:rPr>
          <w:rFonts w:ascii="Calibri" w:hAnsi="Calibri"/>
          <w:b w:val="0"/>
          <w:i w:val="0"/>
          <w:color w:val="0B2545"/>
          <w:sz w:val="22"/>
        </w:rPr>
        <w:t>Build Reno-to-Columbus transfer creation, dispatch, in-transit status, destination receipt, and discrepancy resolution.</w:t>
      </w:r>
    </w:p>
    <w:p>
      <w:pPr>
        <w:pStyle w:val="ListBullet"/>
        <w:spacing w:before="0" w:after="80" w:line="280" w:lineRule="auto"/>
        <w:ind w:left="720" w:hanging="360"/>
      </w:pPr>
      <w:r>
        <w:rPr>
          <w:rFonts w:ascii="Calibri" w:hAnsi="Calibri"/>
          <w:b w:val="0"/>
          <w:i w:val="0"/>
          <w:color w:val="0B2545"/>
          <w:sz w:val="22"/>
        </w:rPr>
        <w:t>Build expected-return, inspection, quarantine, restock, damage, rejection, and unidentified-return workflows.</w:t>
      </w:r>
    </w:p>
    <w:p>
      <w:pPr>
        <w:pStyle w:val="ListBullet"/>
        <w:spacing w:before="0" w:after="80" w:line="280" w:lineRule="auto"/>
        <w:ind w:left="720" w:hanging="360"/>
      </w:pPr>
      <w:r>
        <w:rPr>
          <w:rFonts w:ascii="Calibri" w:hAnsi="Calibri"/>
          <w:b w:val="0"/>
          <w:i w:val="0"/>
          <w:color w:val="0B2545"/>
          <w:sz w:val="22"/>
        </w:rPr>
        <w:t>Release the seller portal and manager dashboard for inventory, orders, receipts, returns, transfers, and exceptions.</w:t>
      </w:r>
    </w:p>
    <w:p>
      <w:pPr>
        <w:pStyle w:val="Heading2"/>
        <w:keepNext/>
        <w:spacing w:before="240" w:after="120" w:line="264" w:lineRule="auto"/>
      </w:pPr>
      <w:r>
        <w:rPr>
          <w:rFonts w:ascii="Calibri" w:hAnsi="Calibri"/>
          <w:b/>
          <w:i w:val="0"/>
          <w:color w:val="2E74B5"/>
          <w:sz w:val="26"/>
        </w:rPr>
        <w:t>Phase 5 - Validation, migration, and controlled launch</w:t>
      </w:r>
    </w:p>
    <w:p>
      <w:pPr>
        <w:pStyle w:val="ListBullet"/>
        <w:spacing w:before="0" w:after="80" w:line="280" w:lineRule="auto"/>
        <w:ind w:left="720" w:hanging="360"/>
      </w:pPr>
      <w:r>
        <w:rPr>
          <w:rFonts w:ascii="Calibri" w:hAnsi="Calibri"/>
          <w:b w:val="0"/>
          <w:i w:val="0"/>
          <w:color w:val="0B2545"/>
          <w:sz w:val="22"/>
        </w:rPr>
        <w:t>Import approved opening data from the current spreadsheets and validate it against the reconciled stock baseline.</w:t>
      </w:r>
    </w:p>
    <w:p>
      <w:pPr>
        <w:pStyle w:val="ListBullet"/>
        <w:spacing w:before="0" w:after="80" w:line="280" w:lineRule="auto"/>
        <w:ind w:left="720" w:hanging="360"/>
      </w:pPr>
      <w:r>
        <w:rPr>
          <w:rFonts w:ascii="Calibri" w:hAnsi="Calibri"/>
          <w:b w:val="0"/>
          <w:i w:val="0"/>
          <w:color w:val="0B2545"/>
          <w:sz w:val="22"/>
        </w:rPr>
        <w:t>Pilot one warehouse as the operational source of truth while Excel becomes read-only comparison and historic reference.</w:t>
      </w:r>
    </w:p>
    <w:p>
      <w:pPr>
        <w:pStyle w:val="ListBullet"/>
        <w:spacing w:before="0" w:after="80" w:line="280" w:lineRule="auto"/>
        <w:ind w:left="720" w:hanging="360"/>
      </w:pPr>
      <w:r>
        <w:rPr>
          <w:rFonts w:ascii="Calibri" w:hAnsi="Calibri"/>
          <w:b w:val="0"/>
          <w:i w:val="0"/>
          <w:color w:val="0B2545"/>
          <w:sz w:val="22"/>
        </w:rPr>
        <w:t>Run a defined 10-business-day reconciliation window, resolve exceptions, then cut over the second warehouse.</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val="clear"/>
            <w:tcBorders>
              <w:top w:val="single" w:sz="6" w:color="C9D4E3"/>
              <w:bottom w:val="single" w:sz="6" w:color="C9D4E3"/>
              <w:start w:val="single" w:sz="6" w:color="C9D4E3"/>
              <w:end w:val="single" w:sz="6" w:color="C9D4E3"/>
            </w:tcBorders>
          </w:tcPr>
          <w:p>
            <w:pPr>
              <w:spacing w:before="0" w:after="0" w:line="264" w:lineRule="auto"/>
            </w:pPr>
            <w:r>
              <w:rPr>
                <w:rFonts w:ascii="Calibri" w:hAnsi="Calibri"/>
                <w:b/>
                <w:i w:val="0"/>
                <w:color w:val="0B2545"/>
                <w:sz w:val="22"/>
              </w:rPr>
              <w:t xml:space="preserve">Important scope boundary: </w:t>
            </w:r>
            <w:r>
              <w:rPr>
                <w:rFonts w:ascii="Calibri" w:hAnsi="Calibri"/>
                <w:b w:val="0"/>
                <w:i w:val="0"/>
                <w:color w:val="0B2545"/>
                <w:sz w:val="22"/>
              </w:rPr>
              <w:t>The delivery phases overlap in development. They are not five sequential waiting periods. Foundation, user interface, automated testing, and release infrastructure are built alongside the workflow modules.</w:t>
            </w:r>
          </w:p>
        </w:tc>
      </w:tr>
    </w:tbl>
    <w:p>
      <w:pPr>
        <w:spacing w:before="0" w:after="40" w:line="264" w:lineRule="auto"/>
      </w:pPr>
    </w:p>
    <w:p>
      <w:pPr>
        <w:pStyle w:val="Heading1"/>
        <w:keepNext/>
        <w:spacing w:before="320" w:after="160" w:line="264" w:lineRule="auto"/>
      </w:pPr>
      <w:r>
        <w:rPr>
          <w:rFonts w:ascii="Calibri" w:hAnsi="Calibri"/>
          <w:b/>
          <w:i w:val="0"/>
          <w:color w:val="2E74B5"/>
          <w:sz w:val="32"/>
        </w:rPr>
        <w:t>6. Key Workflow Behavior</w:t>
      </w:r>
    </w:p>
    <w:p>
      <w:pPr>
        <w:pStyle w:val="Heading2"/>
        <w:keepNext/>
        <w:spacing w:before="240" w:after="120" w:line="264" w:lineRule="auto"/>
      </w:pPr>
      <w:r>
        <w:rPr>
          <w:rFonts w:ascii="Calibri" w:hAnsi="Calibri"/>
          <w:b/>
          <w:i w:val="0"/>
          <w:color w:val="2E74B5"/>
          <w:sz w:val="26"/>
        </w:rPr>
        <w:t>Receiving</w:t>
      </w:r>
    </w:p>
    <w:p>
      <w:pPr>
        <w:pStyle w:val="ListNumber"/>
        <w:spacing w:before="0" w:after="120" w:line="280" w:lineRule="auto"/>
        <w:ind w:left="720" w:hanging="360"/>
      </w:pPr>
      <w:r>
        <w:rPr>
          <w:rFonts w:ascii="Calibri" w:hAnsi="Calibri"/>
          <w:b/>
          <w:i w:val="0"/>
          <w:color w:val="0B2545"/>
          <w:sz w:val="22"/>
        </w:rPr>
        <w:t xml:space="preserve">Start receipt. </w:t>
      </w:r>
      <w:r>
        <w:rPr>
          <w:rFonts w:ascii="Calibri" w:hAnsi="Calibri"/>
          <w:b w:val="0"/>
          <w:i w:val="0"/>
          <w:color w:val="0B2545"/>
          <w:sz w:val="22"/>
        </w:rPr>
        <w:t>Use a carrier tracking number or seller drop-off ticket number.</w:t>
      </w:r>
    </w:p>
    <w:p>
      <w:pPr>
        <w:pStyle w:val="ListNumber"/>
        <w:spacing w:before="0" w:after="120" w:line="280" w:lineRule="auto"/>
        <w:ind w:left="720" w:hanging="360"/>
      </w:pPr>
      <w:r>
        <w:rPr>
          <w:rFonts w:ascii="Calibri" w:hAnsi="Calibri"/>
          <w:b/>
          <w:i w:val="0"/>
          <w:color w:val="0B2545"/>
          <w:sz w:val="22"/>
        </w:rPr>
        <w:t xml:space="preserve">Record items. </w:t>
      </w:r>
      <w:r>
        <w:rPr>
          <w:rFonts w:ascii="Calibri" w:hAnsi="Calibri"/>
          <w:b w:val="0"/>
          <w:i w:val="0"/>
          <w:color w:val="0B2545"/>
          <w:sz w:val="22"/>
        </w:rPr>
        <w:t>Search or manually enter UPC/SKU and capture quantities and condition.</w:t>
      </w:r>
    </w:p>
    <w:p>
      <w:pPr>
        <w:pStyle w:val="ListNumber"/>
        <w:spacing w:before="0" w:after="120" w:line="280" w:lineRule="auto"/>
        <w:ind w:left="720" w:hanging="360"/>
      </w:pPr>
      <w:r>
        <w:rPr>
          <w:rFonts w:ascii="Calibri" w:hAnsi="Calibri"/>
          <w:b/>
          <w:i w:val="0"/>
          <w:color w:val="0B2545"/>
          <w:sz w:val="22"/>
        </w:rPr>
        <w:t xml:space="preserve">Capture exceptions. </w:t>
      </w:r>
      <w:r>
        <w:rPr>
          <w:rFonts w:ascii="Calibri" w:hAnsi="Calibri"/>
          <w:b w:val="0"/>
          <w:i w:val="0"/>
          <w:color w:val="0B2545"/>
          <w:sz w:val="22"/>
        </w:rPr>
        <w:t>Separate sellable, damaged, quarantined, missing, and overage quantities.</w:t>
      </w:r>
    </w:p>
    <w:p>
      <w:pPr>
        <w:pStyle w:val="ListNumber"/>
        <w:spacing w:before="0" w:after="120" w:line="280" w:lineRule="auto"/>
        <w:ind w:left="720" w:hanging="360"/>
      </w:pPr>
      <w:r>
        <w:rPr>
          <w:rFonts w:ascii="Calibri" w:hAnsi="Calibri"/>
          <w:b/>
          <w:i w:val="0"/>
          <w:color w:val="0B2545"/>
          <w:sz w:val="22"/>
        </w:rPr>
        <w:t xml:space="preserve">Complete safely. </w:t>
      </w:r>
      <w:r>
        <w:rPr>
          <w:rFonts w:ascii="Calibri" w:hAnsi="Calibri"/>
          <w:b w:val="0"/>
          <w:i w:val="0"/>
          <w:color w:val="0B2545"/>
          <w:sz w:val="22"/>
        </w:rPr>
        <w:t>The application validates duplicates and creates the receipt's inventory movements.</w:t>
      </w:r>
    </w:p>
    <w:p>
      <w:pPr>
        <w:pStyle w:val="Heading2"/>
        <w:keepNext/>
        <w:spacing w:before="240" w:after="120" w:line="264" w:lineRule="auto"/>
      </w:pPr>
      <w:r>
        <w:rPr>
          <w:rFonts w:ascii="Calibri" w:hAnsi="Calibri"/>
          <w:b/>
          <w:i w:val="0"/>
          <w:color w:val="2E74B5"/>
          <w:sz w:val="26"/>
        </w:rPr>
        <w:t>Returns</w:t>
      </w:r>
    </w:p>
    <w:p>
      <w:pPr>
        <w:pStyle w:val="ListNumber"/>
        <w:spacing w:before="0" w:after="120" w:line="280" w:lineRule="auto"/>
        <w:ind w:left="720" w:hanging="360"/>
      </w:pPr>
      <w:r>
        <w:rPr>
          <w:rFonts w:ascii="Calibri" w:hAnsi="Calibri"/>
          <w:b/>
          <w:i w:val="0"/>
          <w:color w:val="0B2545"/>
          <w:sz w:val="22"/>
        </w:rPr>
        <w:t xml:space="preserve">Create expected return. </w:t>
      </w:r>
      <w:r>
        <w:rPr>
          <w:rFonts w:ascii="Calibri" w:hAnsi="Calibri"/>
          <w:b w:val="0"/>
          <w:i w:val="0"/>
          <w:color w:val="0B2545"/>
          <w:sz w:val="22"/>
        </w:rPr>
        <w:t>Seller or manager records the anticipated return and, where possible, links it to the original order.</w:t>
      </w:r>
    </w:p>
    <w:p>
      <w:pPr>
        <w:pStyle w:val="ListNumber"/>
        <w:spacing w:before="0" w:after="120" w:line="280" w:lineRule="auto"/>
        <w:ind w:left="720" w:hanging="360"/>
      </w:pPr>
      <w:r>
        <w:rPr>
          <w:rFonts w:ascii="Calibri" w:hAnsi="Calibri"/>
          <w:b/>
          <w:i w:val="0"/>
          <w:color w:val="0B2545"/>
          <w:sz w:val="22"/>
        </w:rPr>
        <w:t xml:space="preserve">Receive and inspect. </w:t>
      </w:r>
      <w:r>
        <w:rPr>
          <w:rFonts w:ascii="Calibri" w:hAnsi="Calibri"/>
          <w:b w:val="0"/>
          <w:i w:val="0"/>
          <w:color w:val="0B2545"/>
          <w:sz w:val="22"/>
        </w:rPr>
        <w:t>Warehouse staff match the incoming package and choose the item disposition.</w:t>
      </w:r>
    </w:p>
    <w:p>
      <w:pPr>
        <w:pStyle w:val="ListNumber"/>
        <w:spacing w:before="0" w:after="120" w:line="280" w:lineRule="auto"/>
        <w:ind w:left="720" w:hanging="360"/>
      </w:pPr>
      <w:r>
        <w:rPr>
          <w:rFonts w:ascii="Calibri" w:hAnsi="Calibri"/>
          <w:b/>
          <w:i w:val="0"/>
          <w:color w:val="0B2545"/>
          <w:sz w:val="22"/>
        </w:rPr>
        <w:t xml:space="preserve">Protect sellable stock. </w:t>
      </w:r>
      <w:r>
        <w:rPr>
          <w:rFonts w:ascii="Calibri" w:hAnsi="Calibri"/>
          <w:b w:val="0"/>
          <w:i w:val="0"/>
          <w:color w:val="0B2545"/>
          <w:sz w:val="22"/>
        </w:rPr>
        <w:t>Unidentified or uninspected items go to quarantine, not available inventory.</w:t>
      </w:r>
    </w:p>
    <w:p>
      <w:pPr>
        <w:pStyle w:val="ListNumber"/>
        <w:spacing w:before="0" w:after="120" w:line="280" w:lineRule="auto"/>
        <w:ind w:left="720" w:hanging="360"/>
      </w:pPr>
      <w:r>
        <w:rPr>
          <w:rFonts w:ascii="Calibri" w:hAnsi="Calibri"/>
          <w:b/>
          <w:i w:val="0"/>
          <w:color w:val="0B2545"/>
          <w:sz w:val="22"/>
        </w:rPr>
        <w:t xml:space="preserve">Close the loop. </w:t>
      </w:r>
      <w:r>
        <w:rPr>
          <w:rFonts w:ascii="Calibri" w:hAnsi="Calibri"/>
          <w:b w:val="0"/>
          <w:i w:val="0"/>
          <w:color w:val="0B2545"/>
          <w:sz w:val="22"/>
        </w:rPr>
        <w:t>The seller sees the return status and final inventory outcome.</w:t>
      </w:r>
    </w:p>
    <w:p>
      <w:pPr>
        <w:pStyle w:val="Heading2"/>
        <w:keepNext/>
        <w:spacing w:before="240" w:after="120" w:line="264" w:lineRule="auto"/>
      </w:pPr>
      <w:r>
        <w:rPr>
          <w:rFonts w:ascii="Calibri" w:hAnsi="Calibri"/>
          <w:b/>
          <w:i w:val="0"/>
          <w:color w:val="2E74B5"/>
          <w:sz w:val="26"/>
        </w:rPr>
        <w:t>Warehouse transfer</w:t>
      </w:r>
    </w:p>
    <w:p>
      <w:pPr>
        <w:pStyle w:val="ListNumber"/>
        <w:spacing w:before="0" w:after="120" w:line="280" w:lineRule="auto"/>
        <w:ind w:left="720" w:hanging="360"/>
      </w:pPr>
      <w:r>
        <w:rPr>
          <w:rFonts w:ascii="Calibri" w:hAnsi="Calibri"/>
          <w:b/>
          <w:i w:val="0"/>
          <w:color w:val="0B2545"/>
          <w:sz w:val="22"/>
        </w:rPr>
        <w:t xml:space="preserve">Create and approve. </w:t>
      </w:r>
      <w:r>
        <w:rPr>
          <w:rFonts w:ascii="Calibri" w:hAnsi="Calibri"/>
          <w:b w:val="0"/>
          <w:i w:val="0"/>
          <w:color w:val="0B2545"/>
          <w:sz w:val="22"/>
        </w:rPr>
        <w:t>A manager creates a transfer between Reno and Columbus.</w:t>
      </w:r>
    </w:p>
    <w:p>
      <w:pPr>
        <w:pStyle w:val="ListNumber"/>
        <w:spacing w:before="0" w:after="120" w:line="280" w:lineRule="auto"/>
        <w:ind w:left="720" w:hanging="360"/>
      </w:pPr>
      <w:r>
        <w:rPr>
          <w:rFonts w:ascii="Calibri" w:hAnsi="Calibri"/>
          <w:b/>
          <w:i w:val="0"/>
          <w:color w:val="0B2545"/>
          <w:sz w:val="22"/>
        </w:rPr>
        <w:t xml:space="preserve">Dispatch. </w:t>
      </w:r>
      <w:r>
        <w:rPr>
          <w:rFonts w:ascii="Calibri" w:hAnsi="Calibri"/>
          <w:b w:val="0"/>
          <w:i w:val="0"/>
          <w:color w:val="0B2545"/>
          <w:sz w:val="22"/>
        </w:rPr>
        <w:t>Origin warehouse records the transfer leaving; stock becomes in transit.</w:t>
      </w:r>
    </w:p>
    <w:p>
      <w:pPr>
        <w:pStyle w:val="ListNumber"/>
        <w:spacing w:before="0" w:after="120" w:line="280" w:lineRule="auto"/>
        <w:ind w:left="720" w:hanging="360"/>
      </w:pPr>
      <w:r>
        <w:rPr>
          <w:rFonts w:ascii="Calibri" w:hAnsi="Calibri"/>
          <w:b/>
          <w:i w:val="0"/>
          <w:color w:val="0B2545"/>
          <w:sz w:val="22"/>
        </w:rPr>
        <w:t xml:space="preserve">Receive. </w:t>
      </w:r>
      <w:r>
        <w:rPr>
          <w:rFonts w:ascii="Calibri" w:hAnsi="Calibri"/>
          <w:b w:val="0"/>
          <w:i w:val="0"/>
          <w:color w:val="0B2545"/>
          <w:sz w:val="22"/>
        </w:rPr>
        <w:t>Destination warehouse confirms received quantities and records variances.</w:t>
      </w:r>
    </w:p>
    <w:p>
      <w:pPr>
        <w:pStyle w:val="ListNumber"/>
        <w:spacing w:before="0" w:after="120" w:line="280" w:lineRule="auto"/>
        <w:ind w:left="720" w:hanging="360"/>
      </w:pPr>
      <w:r>
        <w:rPr>
          <w:rFonts w:ascii="Calibri" w:hAnsi="Calibri"/>
          <w:b/>
          <w:i w:val="0"/>
          <w:color w:val="0B2545"/>
          <w:sz w:val="22"/>
        </w:rPr>
        <w:t xml:space="preserve">Resolve exceptions. </w:t>
      </w:r>
      <w:r>
        <w:rPr>
          <w:rFonts w:ascii="Calibri" w:hAnsi="Calibri"/>
          <w:b w:val="0"/>
          <w:i w:val="0"/>
          <w:color w:val="0B2545"/>
          <w:sz w:val="22"/>
        </w:rPr>
        <w:t>Damaged, missing, or overage units remain visible for review and audit.</w:t>
      </w:r>
    </w:p>
    <w:p>
      <w:pPr>
        <w:pStyle w:val="Heading1"/>
        <w:keepNext/>
        <w:spacing w:before="320" w:after="160" w:line="264" w:lineRule="auto"/>
      </w:pPr>
      <w:r>
        <w:rPr>
          <w:rFonts w:ascii="Calibri" w:hAnsi="Calibri"/>
          <w:b/>
          <w:i w:val="0"/>
          <w:color w:val="2E74B5"/>
          <w:sz w:val="32"/>
        </w:rPr>
        <w:t>7. Resilience, Testing, and Supportability</w:t>
      </w:r>
    </w:p>
    <w:p>
      <w:pPr>
        <w:pStyle w:val="Heading2"/>
        <w:keepNext/>
        <w:spacing w:before="240" w:after="120" w:line="264" w:lineRule="auto"/>
      </w:pPr>
      <w:r>
        <w:rPr>
          <w:rFonts w:ascii="Calibri" w:hAnsi="Calibri"/>
          <w:b/>
          <w:i w:val="0"/>
          <w:color w:val="2E74B5"/>
          <w:sz w:val="26"/>
        </w:rPr>
        <w:t>Temporary internet interruption</w:t>
      </w:r>
    </w:p>
    <w:p>
      <w:pPr>
        <w:spacing w:before="0" w:after="120" w:line="264" w:lineRule="auto"/>
      </w:pPr>
      <w:r>
        <w:rPr>
          <w:rFonts w:ascii="Calibri" w:hAnsi="Calibri"/>
          <w:b w:val="0"/>
          <w:i w:val="0"/>
          <w:color w:val="0B2545"/>
          <w:sz w:val="22"/>
        </w:rPr>
        <w:t>The browser application will support offline-safe receipt drafting. During a short outage, staff can continue recording a receipt; the device stores it locally and clearly marks it as pending synchronization. When connectivity returns, the application submits it using duplicate-safe identifiers. Central stock does not change until the server confirms the receipt.</w:t>
      </w:r>
    </w:p>
    <w:p>
      <w:pPr>
        <w:spacing w:before="0" w:after="120" w:line="264" w:lineRule="auto"/>
      </w:pPr>
      <w:r>
        <w:rPr>
          <w:rFonts w:ascii="Calibri" w:hAnsi="Calibri"/>
          <w:b w:val="0"/>
          <w:i w:val="0"/>
          <w:color w:val="0B2545"/>
          <w:sz w:val="22"/>
        </w:rPr>
        <w:t>Inventory reservations, shipment-label services, and live stock confirmation require a connection because they must use central, current data. The application will show connection and synchronization status rather than hiding this limitation from staff.</w:t>
      </w:r>
    </w:p>
    <w:p>
      <w:pPr>
        <w:pStyle w:val="Heading2"/>
        <w:keepNext/>
        <w:spacing w:before="240" w:after="120" w:line="264" w:lineRule="auto"/>
      </w:pPr>
      <w:r>
        <w:rPr>
          <w:rFonts w:ascii="Calibri" w:hAnsi="Calibri"/>
          <w:b/>
          <w:i w:val="0"/>
          <w:color w:val="2E74B5"/>
          <w:sz w:val="26"/>
        </w:rPr>
        <w:t>Quality controls before launch</w:t>
      </w:r>
    </w:p>
    <w:p>
      <w:pPr>
        <w:pStyle w:val="ListBullet"/>
        <w:spacing w:before="0" w:after="80" w:line="280" w:lineRule="auto"/>
        <w:ind w:left="720" w:hanging="360"/>
      </w:pPr>
      <w:r>
        <w:rPr>
          <w:rFonts w:ascii="Calibri" w:hAnsi="Calibri"/>
          <w:b w:val="0"/>
          <w:i w:val="0"/>
          <w:color w:val="0B2545"/>
          <w:sz w:val="22"/>
        </w:rPr>
        <w:t>Unit tests for ledger logic, policy configuration, permissions, and workflow state transitions.</w:t>
      </w:r>
    </w:p>
    <w:p>
      <w:pPr>
        <w:pStyle w:val="ListBullet"/>
        <w:spacing w:before="0" w:after="80" w:line="280" w:lineRule="auto"/>
        <w:ind w:left="720" w:hanging="360"/>
      </w:pPr>
      <w:r>
        <w:rPr>
          <w:rFonts w:ascii="Calibri" w:hAnsi="Calibri"/>
          <w:b w:val="0"/>
          <w:i w:val="0"/>
          <w:color w:val="0B2545"/>
          <w:sz w:val="22"/>
        </w:rPr>
        <w:t>Integration tests for database transactions, duplicate prevention, background work, imports, and API authorization.</w:t>
      </w:r>
    </w:p>
    <w:p>
      <w:pPr>
        <w:pStyle w:val="ListBullet"/>
        <w:spacing w:before="0" w:after="80" w:line="280" w:lineRule="auto"/>
        <w:ind w:left="720" w:hanging="360"/>
      </w:pPr>
      <w:r>
        <w:rPr>
          <w:rFonts w:ascii="Calibri" w:hAnsi="Calibri"/>
          <w:b w:val="0"/>
          <w:i w:val="0"/>
          <w:color w:val="0B2545"/>
          <w:sz w:val="22"/>
        </w:rPr>
        <w:t>End-to-end tests for receiving, concurrent order reservation, fulfillment, returns, transfers, seller isolation, and offline receipt synchronization.</w:t>
      </w:r>
    </w:p>
    <w:p>
      <w:pPr>
        <w:pStyle w:val="ListBullet"/>
        <w:spacing w:before="0" w:after="80" w:line="280" w:lineRule="auto"/>
        <w:ind w:left="720" w:hanging="360"/>
      </w:pPr>
      <w:r>
        <w:rPr>
          <w:rFonts w:ascii="Calibri" w:hAnsi="Calibri"/>
          <w:b w:val="0"/>
          <w:i w:val="0"/>
          <w:color w:val="0B2545"/>
          <w:sz w:val="22"/>
        </w:rPr>
        <w:t>Migration rehearsal with a copy of spreadsheet data before any live cutover.</w:t>
      </w:r>
    </w:p>
    <w:p>
      <w:pPr>
        <w:pStyle w:val="ListBullet"/>
        <w:spacing w:before="0" w:after="80" w:line="280" w:lineRule="auto"/>
        <w:ind w:left="720" w:hanging="360"/>
      </w:pPr>
      <w:r>
        <w:rPr>
          <w:rFonts w:ascii="Calibri" w:hAnsi="Calibri"/>
          <w:b w:val="0"/>
          <w:i w:val="0"/>
          <w:color w:val="0B2545"/>
          <w:sz w:val="22"/>
        </w:rPr>
        <w:t>Production monitoring, backups, restoration checks, error alerts, deployment rollback, and operational runbooks.</w:t>
      </w:r>
    </w:p>
    <w:p>
      <w:pPr>
        <w:pStyle w:val="Heading1"/>
        <w:keepNext/>
        <w:spacing w:before="320" w:after="160" w:line="264" w:lineRule="auto"/>
      </w:pPr>
      <w:r>
        <w:rPr>
          <w:rFonts w:ascii="Calibri" w:hAnsi="Calibri"/>
          <w:b/>
          <w:i w:val="0"/>
          <w:color w:val="2E74B5"/>
          <w:sz w:val="32"/>
        </w:rPr>
        <w:t>8. Deferred Integrations</w:t>
      </w:r>
    </w:p>
    <w:p>
      <w:pPr>
        <w:spacing w:before="0" w:after="120" w:line="264" w:lineRule="auto"/>
      </w:pPr>
      <w:r>
        <w:rPr>
          <w:rFonts w:ascii="Calibri" w:hAnsi="Calibri"/>
          <w:b w:val="0"/>
          <w:i w:val="0"/>
          <w:color w:val="0B2545"/>
          <w:sz w:val="22"/>
        </w:rPr>
        <w:t>The core release will not require new scanners, label printers, scales, carrier accounts, or other physical equipment. Warehouse workflows initially support browser-based entry. The software will expose clean integration points so approved devices and providers can be added later without redesigning the inventory model.</w:t>
      </w:r>
    </w:p>
    <w:tbl>
      <w:tblPr>
        <w:tblW w:type="dxa" w:w="9360"/>
        <w:tblLayout w:type="fixed"/>
        <w:tblLook w:firstColumn="1" w:firstRow="1" w:lastColumn="0" w:lastRow="0" w:noHBand="0" w:noVBand="1" w:val="04A0"/>
        <w:tblInd w:w="120" w:type="dxa"/>
      </w:tblPr>
      <w:tblGrid>
        <w:gridCol w:w="2160"/>
        <w:gridCol w:w="4320"/>
        <w:gridCol w:w="2880"/>
      </w:tblGrid>
      <w:tr>
        <w:trPr>
          <w:tblHeader w:val="true"/>
        </w:trPr>
        <w:tc>
          <w:tcPr>
            <w:tcW w:type="dxa" w:w="2160"/>
            <w:tcMar>
              <w:top w:w="80" w:type="dxa"/>
              <w:start w:w="120" w:type="dxa"/>
              <w:bottom w:w="80" w:type="dxa"/>
              <w:end w:w="120" w:type="dxa"/>
            </w:tcMar>
            <w:vAlign w:val="center"/>
            <w:shd w:fill="E8EEF5" w:val="clear"/>
            <w:tcBorders>
              <w:top w:val="single" w:sz="6" w:color="B9C8D8"/>
              <w:bottom w:val="single" w:sz="6" w:color="B9C8D8"/>
              <w:start w:val="single" w:sz="6" w:color="B9C8D8"/>
              <w:end w:val="single" w:sz="6" w:color="B9C8D8"/>
            </w:tcBorders>
          </w:tcPr>
          <w:p>
            <w:pPr>
              <w:spacing w:before="0" w:after="0" w:line="240" w:lineRule="auto"/>
              <w:jc w:val="left"/>
            </w:pPr>
            <w:r>
              <w:rPr>
                <w:rFonts w:ascii="Calibri" w:hAnsi="Calibri"/>
                <w:b/>
                <w:i w:val="0"/>
                <w:color w:val="0B2545"/>
                <w:sz w:val="20"/>
              </w:rPr>
              <w:t>Deferred capability</w:t>
            </w:r>
          </w:p>
        </w:tc>
        <w:tc>
          <w:tcPr>
            <w:tcW w:type="dxa" w:w="4320"/>
            <w:tcMar>
              <w:top w:w="80" w:type="dxa"/>
              <w:start w:w="120" w:type="dxa"/>
              <w:bottom w:w="80" w:type="dxa"/>
              <w:end w:w="120" w:type="dxa"/>
            </w:tcMar>
            <w:vAlign w:val="center"/>
            <w:shd w:fill="E8EEF5" w:val="clear"/>
            <w:tcBorders>
              <w:top w:val="single" w:sz="6" w:color="B9C8D8"/>
              <w:bottom w:val="single" w:sz="6" w:color="B9C8D8"/>
              <w:start w:val="single" w:sz="6" w:color="B9C8D8"/>
              <w:end w:val="single" w:sz="6" w:color="B9C8D8"/>
            </w:tcBorders>
          </w:tcPr>
          <w:p>
            <w:pPr>
              <w:spacing w:before="0" w:after="0" w:line="240" w:lineRule="auto"/>
              <w:jc w:val="left"/>
            </w:pPr>
            <w:r>
              <w:rPr>
                <w:rFonts w:ascii="Calibri" w:hAnsi="Calibri"/>
                <w:b/>
                <w:i w:val="0"/>
                <w:color w:val="0B2545"/>
                <w:sz w:val="20"/>
              </w:rPr>
              <w:t>Later implementation approach</w:t>
            </w:r>
          </w:p>
        </w:tc>
        <w:tc>
          <w:tcPr>
            <w:tcW w:type="dxa" w:w="2880"/>
            <w:tcMar>
              <w:top w:w="80" w:type="dxa"/>
              <w:start w:w="120" w:type="dxa"/>
              <w:bottom w:w="80" w:type="dxa"/>
              <w:end w:w="120" w:type="dxa"/>
            </w:tcMar>
            <w:vAlign w:val="center"/>
            <w:shd w:fill="E8EEF5" w:val="clear"/>
            <w:tcBorders>
              <w:top w:val="single" w:sz="6" w:color="B9C8D8"/>
              <w:bottom w:val="single" w:sz="6" w:color="B9C8D8"/>
              <w:start w:val="single" w:sz="6" w:color="B9C8D8"/>
              <w:end w:val="single" w:sz="6" w:color="B9C8D8"/>
            </w:tcBorders>
          </w:tcPr>
          <w:p>
            <w:pPr>
              <w:spacing w:before="0" w:after="0" w:line="240" w:lineRule="auto"/>
              <w:jc w:val="left"/>
            </w:pPr>
            <w:r>
              <w:rPr>
                <w:rFonts w:ascii="Calibri" w:hAnsi="Calibri"/>
                <w:b/>
                <w:i w:val="0"/>
                <w:color w:val="0B2545"/>
                <w:sz w:val="20"/>
              </w:rPr>
              <w:t>Reason for deferral</w:t>
            </w:r>
          </w:p>
        </w:tc>
      </w:tr>
      <w:tr>
        <w:tc>
          <w:tcPr>
            <w:tcW w:type="dxa" w:w="216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Barcode scanners</w:t>
            </w:r>
          </w:p>
        </w:tc>
        <w:tc>
          <w:tcPr>
            <w:tcW w:type="dxa" w:w="432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Add scanner-input adapter after testing the warehouse's current device models</w:t>
            </w:r>
          </w:p>
        </w:tc>
        <w:tc>
          <w:tcPr>
            <w:tcW w:type="dxa" w:w="288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Core receiving and product-validation rules can be built without device dependency</w:t>
            </w:r>
          </w:p>
        </w:tc>
      </w:tr>
      <w:tr>
        <w:tc>
          <w:tcPr>
            <w:tcW w:type="dxa" w:w="216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Label printers and carriers</w:t>
            </w:r>
          </w:p>
        </w:tc>
        <w:tc>
          <w:tcPr>
            <w:tcW w:type="dxa" w:w="432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Add carrier and print-service adapters, then connect label creation to shipments</w:t>
            </w:r>
          </w:p>
        </w:tc>
        <w:tc>
          <w:tcPr>
            <w:tcW w:type="dxa" w:w="288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Manual shipment/tracking workflow establishes the correct operational state first</w:t>
            </w:r>
          </w:p>
        </w:tc>
      </w:tr>
      <w:tr>
        <w:tc>
          <w:tcPr>
            <w:tcW w:type="dxa" w:w="216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Scales and dimensioners</w:t>
            </w:r>
          </w:p>
        </w:tc>
        <w:tc>
          <w:tcPr>
            <w:tcW w:type="dxa" w:w="432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Add device-input connector with manual fallback</w:t>
            </w:r>
          </w:p>
        </w:tc>
        <w:tc>
          <w:tcPr>
            <w:tcW w:type="dxa" w:w="288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Hardware model and connectivity must be validated before integration</w:t>
            </w:r>
          </w:p>
        </w:tc>
      </w:tr>
      <w:tr>
        <w:tc>
          <w:tcPr>
            <w:tcW w:type="dxa" w:w="216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Marketplace/order-source integrations</w:t>
            </w:r>
          </w:p>
        </w:tc>
        <w:tc>
          <w:tcPr>
            <w:tcW w:type="dxa" w:w="432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Add approved webhook/API connectors through an order-ingestion service</w:t>
            </w:r>
          </w:p>
        </w:tc>
        <w:tc>
          <w:tcPr>
            <w:tcW w:type="dxa" w:w="288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Start with governed order entry/import and protect the reservation engine</w:t>
            </w:r>
          </w:p>
        </w:tc>
      </w:tr>
    </w:tbl>
    <w:p/>
    <w:p>
      <w:pPr>
        <w:pStyle w:val="Heading1"/>
        <w:keepNext/>
        <w:spacing w:before="320" w:after="160" w:line="264" w:lineRule="auto"/>
      </w:pPr>
      <w:r>
        <w:rPr>
          <w:rFonts w:ascii="Calibri" w:hAnsi="Calibri"/>
          <w:b/>
          <w:i w:val="0"/>
          <w:color w:val="2E74B5"/>
          <w:sz w:val="32"/>
        </w:rPr>
        <w:t>9. Future AI Roadmap</w:t>
      </w:r>
    </w:p>
    <w:p>
      <w:pPr>
        <w:spacing w:before="0" w:after="120" w:line="264" w:lineRule="auto"/>
      </w:pPr>
      <w:r>
        <w:rPr>
          <w:rFonts w:ascii="Calibri" w:hAnsi="Calibri"/>
          <w:b w:val="0"/>
          <w:i w:val="0"/>
          <w:color w:val="0B2545"/>
          <w:sz w:val="22"/>
        </w:rPr>
        <w:t>AI is not required to make the warehouse accurate. It will be introduced only after the ledger and core workflows have stable, trusted data. The first AI features will assist people; they will not autonomously change stock or confirm orders.</w:t>
      </w:r>
    </w:p>
    <w:p>
      <w:pPr>
        <w:pStyle w:val="Heading2"/>
        <w:keepNext/>
        <w:spacing w:before="240" w:after="120" w:line="264" w:lineRule="auto"/>
      </w:pPr>
      <w:r>
        <w:rPr>
          <w:rFonts w:ascii="Calibri" w:hAnsi="Calibri"/>
          <w:b/>
          <w:i w:val="0"/>
          <w:color w:val="2E74B5"/>
          <w:sz w:val="26"/>
        </w:rPr>
        <w:t>AI release A - Read-only operations assistant</w:t>
      </w:r>
    </w:p>
    <w:p>
      <w:pPr>
        <w:pStyle w:val="ListBullet"/>
        <w:spacing w:before="0" w:after="80" w:line="280" w:lineRule="auto"/>
        <w:ind w:left="720" w:hanging="360"/>
      </w:pPr>
      <w:r>
        <w:rPr>
          <w:rFonts w:ascii="Calibri" w:hAnsi="Calibri"/>
          <w:b w:val="0"/>
          <w:i w:val="0"/>
          <w:color w:val="0B2545"/>
          <w:sz w:val="22"/>
        </w:rPr>
        <w:t>Answer questions such as available quantity by warehouse, order status, receipt history, return status, and why stock changed.</w:t>
      </w:r>
    </w:p>
    <w:p>
      <w:pPr>
        <w:pStyle w:val="ListBullet"/>
        <w:spacing w:before="0" w:after="80" w:line="280" w:lineRule="auto"/>
        <w:ind w:left="720" w:hanging="360"/>
      </w:pPr>
      <w:r>
        <w:rPr>
          <w:rFonts w:ascii="Calibri" w:hAnsi="Calibri"/>
          <w:b w:val="0"/>
          <w:i w:val="0"/>
          <w:color w:val="0B2545"/>
          <w:sz w:val="22"/>
        </w:rPr>
        <w:t>Use approved read-only application tools rather than direct database access.</w:t>
      </w:r>
    </w:p>
    <w:p>
      <w:pPr>
        <w:pStyle w:val="ListBullet"/>
        <w:spacing w:before="0" w:after="80" w:line="280" w:lineRule="auto"/>
        <w:ind w:left="720" w:hanging="360"/>
      </w:pPr>
      <w:r>
        <w:rPr>
          <w:rFonts w:ascii="Calibri" w:hAnsi="Calibri"/>
          <w:b w:val="0"/>
          <w:i w:val="0"/>
          <w:color w:val="0B2545"/>
          <w:sz w:val="22"/>
        </w:rPr>
        <w:t>Apply the user's seller and warehouse permissions to every answer.</w:t>
      </w:r>
    </w:p>
    <w:p>
      <w:pPr>
        <w:pStyle w:val="ListBullet"/>
        <w:spacing w:before="0" w:after="80" w:line="280" w:lineRule="auto"/>
        <w:ind w:left="720" w:hanging="360"/>
      </w:pPr>
      <w:r>
        <w:rPr>
          <w:rFonts w:ascii="Calibri" w:hAnsi="Calibri"/>
          <w:b w:val="0"/>
          <w:i w:val="0"/>
          <w:color w:val="0B2545"/>
          <w:sz w:val="22"/>
        </w:rPr>
        <w:t>Show the related order, receipt, transfer, or inventory-movement reference with each answer.</w:t>
      </w:r>
    </w:p>
    <w:p>
      <w:pPr>
        <w:pStyle w:val="Heading2"/>
        <w:keepNext/>
        <w:spacing w:before="240" w:after="120" w:line="264" w:lineRule="auto"/>
      </w:pPr>
      <w:r>
        <w:rPr>
          <w:rFonts w:ascii="Calibri" w:hAnsi="Calibri"/>
          <w:b/>
          <w:i w:val="0"/>
          <w:color w:val="2E74B5"/>
          <w:sz w:val="26"/>
        </w:rPr>
        <w:t>AI release B - Exception summaries and draft actions</w:t>
      </w:r>
    </w:p>
    <w:p>
      <w:pPr>
        <w:pStyle w:val="ListBullet"/>
        <w:spacing w:before="0" w:after="80" w:line="280" w:lineRule="auto"/>
        <w:ind w:left="720" w:hanging="360"/>
      </w:pPr>
      <w:r>
        <w:rPr>
          <w:rFonts w:ascii="Calibri" w:hAnsi="Calibri"/>
          <w:b w:val="0"/>
          <w:i w:val="0"/>
          <w:color w:val="0B2545"/>
          <w:sz w:val="22"/>
        </w:rPr>
        <w:t>Identify and summarize rule-based exceptions: negative availability, old open receipts, aging reservations, delayed transfers, uninspected returns, and unusual adjustments.</w:t>
      </w:r>
    </w:p>
    <w:p>
      <w:pPr>
        <w:pStyle w:val="ListBullet"/>
        <w:spacing w:before="0" w:after="80" w:line="280" w:lineRule="auto"/>
        <w:ind w:left="720" w:hanging="360"/>
      </w:pPr>
      <w:r>
        <w:rPr>
          <w:rFonts w:ascii="Calibri" w:hAnsi="Calibri"/>
          <w:b w:val="0"/>
          <w:i w:val="0"/>
          <w:color w:val="0B2545"/>
          <w:sz w:val="22"/>
        </w:rPr>
        <w:t>Create manager-review tasks or draft seller messages, never final inventory or order changes.</w:t>
      </w:r>
    </w:p>
    <w:p>
      <w:pPr>
        <w:pStyle w:val="ListBullet"/>
        <w:spacing w:before="0" w:after="80" w:line="280" w:lineRule="auto"/>
        <w:ind w:left="720" w:hanging="360"/>
      </w:pPr>
      <w:r>
        <w:rPr>
          <w:rFonts w:ascii="Calibri" w:hAnsi="Calibri"/>
          <w:b w:val="0"/>
          <w:i w:val="0"/>
          <w:color w:val="0B2545"/>
          <w:sz w:val="22"/>
        </w:rPr>
        <w:t>Log every AI request, tool call, recommendation, draft, and approving user.</w:t>
      </w:r>
    </w:p>
    <w:p>
      <w:pPr>
        <w:pStyle w:val="Heading2"/>
        <w:keepNext/>
        <w:spacing w:before="240" w:after="120" w:line="264" w:lineRule="auto"/>
      </w:pPr>
      <w:r>
        <w:rPr>
          <w:rFonts w:ascii="Calibri" w:hAnsi="Calibri"/>
          <w:b/>
          <w:i w:val="0"/>
          <w:color w:val="2E74B5"/>
          <w:sz w:val="26"/>
        </w:rPr>
        <w:t>AI release C - Voice-assisted receiving</w:t>
      </w:r>
    </w:p>
    <w:p>
      <w:pPr>
        <w:spacing w:before="0" w:after="120" w:line="264" w:lineRule="auto"/>
      </w:pPr>
      <w:r>
        <w:rPr>
          <w:rFonts w:ascii="Calibri" w:hAnsi="Calibri"/>
          <w:b w:val="0"/>
          <w:i w:val="0"/>
          <w:color w:val="0B2545"/>
          <w:sz w:val="22"/>
        </w:rPr>
        <w:t>Once scanning hardware is introduced, voice can capture quantities, condition, or damage notes while barcode/UPC remains the item identifier. Each speech instruction becomes a structured draft that the user confirms visually before it creates an inventory movement. Manual entry remains available on every screen.</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val="clear"/>
            <w:tcBorders>
              <w:top w:val="single" w:sz="6" w:color="C9D4E3"/>
              <w:bottom w:val="single" w:sz="6" w:color="C9D4E3"/>
              <w:start w:val="single" w:sz="6" w:color="C9D4E3"/>
              <w:end w:val="single" w:sz="6" w:color="C9D4E3"/>
            </w:tcBorders>
          </w:tcPr>
          <w:p>
            <w:pPr>
              <w:spacing w:before="0" w:after="0" w:line="264" w:lineRule="auto"/>
            </w:pPr>
            <w:r>
              <w:rPr>
                <w:rFonts w:ascii="Calibri" w:hAnsi="Calibri"/>
                <w:b/>
                <w:i w:val="0"/>
                <w:color w:val="0B2545"/>
                <w:sz w:val="22"/>
              </w:rPr>
              <w:t xml:space="preserve">AI safety rule: </w:t>
            </w:r>
            <w:r>
              <w:rPr>
                <w:rFonts w:ascii="Calibri" w:hAnsi="Calibri"/>
                <w:b w:val="0"/>
                <w:i w:val="0"/>
                <w:color w:val="0B2545"/>
                <w:sz w:val="22"/>
              </w:rPr>
              <w:t>AI may answer, summarize, and prepare drafts. A permitted human must approve any action that changes inventory, orders, transfers, seller communication, or shipments.</w:t>
            </w:r>
          </w:p>
        </w:tc>
      </w:tr>
    </w:tbl>
    <w:p>
      <w:pPr>
        <w:spacing w:before="0" w:after="40" w:line="264" w:lineRule="auto"/>
      </w:pPr>
    </w:p>
    <w:p>
      <w:pPr>
        <w:pStyle w:val="Heading1"/>
        <w:keepNext/>
        <w:spacing w:before="320" w:after="160" w:line="264" w:lineRule="auto"/>
      </w:pPr>
      <w:r>
        <w:rPr>
          <w:rFonts w:ascii="Calibri" w:hAnsi="Calibri"/>
          <w:b/>
          <w:i w:val="0"/>
          <w:color w:val="2E74B5"/>
          <w:sz w:val="32"/>
        </w:rPr>
        <w:t>10. Initial Acceptance Criteria</w:t>
      </w:r>
    </w:p>
    <w:p>
      <w:pPr>
        <w:pStyle w:val="ListBullet"/>
        <w:spacing w:before="0" w:after="80" w:line="280" w:lineRule="auto"/>
        <w:ind w:left="720" w:hanging="360"/>
      </w:pPr>
      <w:r>
        <w:rPr>
          <w:rFonts w:ascii="Calibri" w:hAnsi="Calibri"/>
          <w:b w:val="0"/>
          <w:i w:val="0"/>
          <w:color w:val="0B2545"/>
          <w:sz w:val="22"/>
        </w:rPr>
        <w:t>No stock total can be changed without an auditable operational movement or an approved adjustment.</w:t>
      </w:r>
    </w:p>
    <w:p>
      <w:pPr>
        <w:pStyle w:val="ListBullet"/>
        <w:spacing w:before="0" w:after="80" w:line="280" w:lineRule="auto"/>
        <w:ind w:left="720" w:hanging="360"/>
      </w:pPr>
      <w:r>
        <w:rPr>
          <w:rFonts w:ascii="Calibri" w:hAnsi="Calibri"/>
          <w:b w:val="0"/>
          <w:i w:val="0"/>
          <w:color w:val="0B2545"/>
          <w:sz w:val="22"/>
        </w:rPr>
        <w:t>Duplicate completed receipts are blocked unless a manager records an exception reason.</w:t>
      </w:r>
    </w:p>
    <w:p>
      <w:pPr>
        <w:pStyle w:val="ListBullet"/>
        <w:spacing w:before="0" w:after="80" w:line="280" w:lineRule="auto"/>
        <w:ind w:left="720" w:hanging="360"/>
      </w:pPr>
      <w:r>
        <w:rPr>
          <w:rFonts w:ascii="Calibri" w:hAnsi="Calibri"/>
          <w:b w:val="0"/>
          <w:i w:val="0"/>
          <w:color w:val="0B2545"/>
          <w:sz w:val="22"/>
        </w:rPr>
        <w:t>Concurrent orders cannot reserve the same final inventory.</w:t>
      </w:r>
    </w:p>
    <w:p>
      <w:pPr>
        <w:pStyle w:val="ListBullet"/>
        <w:spacing w:before="0" w:after="80" w:line="280" w:lineRule="auto"/>
        <w:ind w:left="720" w:hanging="360"/>
      </w:pPr>
      <w:r>
        <w:rPr>
          <w:rFonts w:ascii="Calibri" w:hAnsi="Calibri"/>
          <w:b w:val="0"/>
          <w:i w:val="0"/>
          <w:color w:val="0B2545"/>
          <w:sz w:val="22"/>
        </w:rPr>
        <w:t>Damaged, quarantined, returned, and in-transit inventory is never presented as sellable.</w:t>
      </w:r>
    </w:p>
    <w:p>
      <w:pPr>
        <w:pStyle w:val="ListBullet"/>
        <w:spacing w:before="0" w:after="80" w:line="280" w:lineRule="auto"/>
        <w:ind w:left="720" w:hanging="360"/>
      </w:pPr>
      <w:r>
        <w:rPr>
          <w:rFonts w:ascii="Calibri" w:hAnsi="Calibri"/>
          <w:b w:val="0"/>
          <w:i w:val="0"/>
          <w:color w:val="0B2545"/>
          <w:sz w:val="22"/>
        </w:rPr>
        <w:t>Reno and Columbus inventory is visible separately and transfers remain in transit until destination receipt.</w:t>
      </w:r>
    </w:p>
    <w:p>
      <w:pPr>
        <w:pStyle w:val="ListBullet"/>
        <w:spacing w:before="0" w:after="80" w:line="280" w:lineRule="auto"/>
        <w:ind w:left="720" w:hanging="360"/>
      </w:pPr>
      <w:r>
        <w:rPr>
          <w:rFonts w:ascii="Calibri" w:hAnsi="Calibri"/>
          <w:b w:val="0"/>
          <w:i w:val="0"/>
          <w:color w:val="0B2545"/>
          <w:sz w:val="22"/>
        </w:rPr>
        <w:t>Sellers can view their own inventory, orders, shipment status, and returns without calling warehouse staff.</w:t>
      </w:r>
    </w:p>
    <w:p>
      <w:pPr>
        <w:pStyle w:val="ListBullet"/>
        <w:spacing w:before="0" w:after="80" w:line="280" w:lineRule="auto"/>
        <w:ind w:left="720" w:hanging="360"/>
      </w:pPr>
      <w:r>
        <w:rPr>
          <w:rFonts w:ascii="Calibri" w:hAnsi="Calibri"/>
          <w:b w:val="0"/>
          <w:i w:val="0"/>
          <w:color w:val="0B2545"/>
          <w:sz w:val="22"/>
        </w:rPr>
        <w:t>Excel becomes read-only once the application becomes the operational source of truth for a warehouse.</w:t>
      </w:r>
    </w:p>
    <w:p>
      <w:pPr>
        <w:pStyle w:val="ListBullet"/>
        <w:spacing w:before="0" w:after="80" w:line="280" w:lineRule="auto"/>
        <w:ind w:left="720" w:hanging="360"/>
      </w:pPr>
      <w:r>
        <w:rPr>
          <w:rFonts w:ascii="Calibri" w:hAnsi="Calibri"/>
          <w:b w:val="0"/>
          <w:i w:val="0"/>
          <w:color w:val="0B2545"/>
          <w:sz w:val="22"/>
        </w:rPr>
        <w:t>Core workflows pass automated tests, migration rehearsal, and controlled pilot validation before full cutover.</w:t>
      </w:r>
    </w:p>
    <w:p>
      <w:pPr>
        <w:pStyle w:val="Heading1"/>
        <w:keepNext/>
        <w:spacing w:before="320" w:after="160" w:line="264" w:lineRule="auto"/>
      </w:pPr>
      <w:r>
        <w:rPr>
          <w:rFonts w:ascii="Calibri" w:hAnsi="Calibri"/>
          <w:b/>
          <w:i w:val="0"/>
          <w:color w:val="2E74B5"/>
          <w:sz w:val="32"/>
        </w:rPr>
        <w:t>11. Decisions Needed Before Development</w:t>
      </w:r>
    </w:p>
    <w:tbl>
      <w:tblPr>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val="clear"/>
            <w:tcBorders>
              <w:top w:val="single" w:sz="6" w:color="B9C8D8"/>
              <w:bottom w:val="single" w:sz="6" w:color="B9C8D8"/>
              <w:start w:val="single" w:sz="6" w:color="B9C8D8"/>
              <w:end w:val="single" w:sz="6" w:color="B9C8D8"/>
            </w:tcBorders>
          </w:tcPr>
          <w:p>
            <w:pPr>
              <w:spacing w:before="0" w:after="0" w:line="240" w:lineRule="auto"/>
              <w:jc w:val="left"/>
            </w:pPr>
            <w:r>
              <w:rPr>
                <w:rFonts w:ascii="Calibri" w:hAnsi="Calibri"/>
                <w:b/>
                <w:i w:val="0"/>
                <w:color w:val="0B2545"/>
                <w:sz w:val="20"/>
              </w:rPr>
              <w:t>Decision</w:t>
            </w:r>
          </w:p>
        </w:tc>
        <w:tc>
          <w:tcPr>
            <w:tcW w:type="dxa" w:w="6660"/>
            <w:tcMar>
              <w:top w:w="80" w:type="dxa"/>
              <w:start w:w="120" w:type="dxa"/>
              <w:bottom w:w="80" w:type="dxa"/>
              <w:end w:w="120" w:type="dxa"/>
            </w:tcMar>
            <w:vAlign w:val="center"/>
            <w:shd w:fill="E8EEF5" w:val="clear"/>
            <w:tcBorders>
              <w:top w:val="single" w:sz="6" w:color="B9C8D8"/>
              <w:bottom w:val="single" w:sz="6" w:color="B9C8D8"/>
              <w:start w:val="single" w:sz="6" w:color="B9C8D8"/>
              <w:end w:val="single" w:sz="6" w:color="B9C8D8"/>
            </w:tcBorders>
          </w:tcPr>
          <w:p>
            <w:pPr>
              <w:spacing w:before="0" w:after="0" w:line="240" w:lineRule="auto"/>
              <w:jc w:val="left"/>
            </w:pPr>
            <w:r>
              <w:rPr>
                <w:rFonts w:ascii="Calibri" w:hAnsi="Calibri"/>
                <w:b/>
                <w:i w:val="0"/>
                <w:color w:val="0B2545"/>
                <w:sz w:val="20"/>
              </w:rPr>
              <w:t>Why it is needed</w:t>
            </w:r>
          </w:p>
        </w:tc>
      </w:tr>
      <w:tr>
        <w:tc>
          <w:tcPr>
            <w:tcW w:type="dxa" w:w="270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Seller order policies</w:t>
            </w:r>
          </w:p>
        </w:tc>
        <w:tc>
          <w:tcPr>
            <w:tcW w:type="dxa" w:w="666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Configure default and seller-specific backorder, partial-fulfillment, and reservation-expiry behavior.</w:t>
            </w:r>
          </w:p>
        </w:tc>
      </w:tr>
      <w:tr>
        <w:tc>
          <w:tcPr>
            <w:tcW w:type="dxa" w:w="270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Opening inventory baseline</w:t>
            </w:r>
          </w:p>
        </w:tc>
        <w:tc>
          <w:tcPr>
            <w:tcW w:type="dxa" w:w="666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Establish the reconciled source data used for initial migration and pilot validation.</w:t>
            </w:r>
          </w:p>
        </w:tc>
      </w:tr>
      <w:tr>
        <w:tc>
          <w:tcPr>
            <w:tcW w:type="dxa" w:w="270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Pilot scope</w:t>
            </w:r>
          </w:p>
        </w:tc>
        <w:tc>
          <w:tcPr>
            <w:tcW w:type="dxa" w:w="666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Select the first warehouse, seller group, and operational scope for controlled launch.</w:t>
            </w:r>
          </w:p>
        </w:tc>
      </w:tr>
      <w:tr>
        <w:tc>
          <w:tcPr>
            <w:tcW w:type="dxa" w:w="270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Approval thresholds</w:t>
            </w:r>
          </w:p>
        </w:tc>
        <w:tc>
          <w:tcPr>
            <w:tcW w:type="dxa" w:w="666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Set which stock adjustments, transfer discrepancies, and return exceptions require manager approval.</w:t>
            </w:r>
          </w:p>
        </w:tc>
      </w:tr>
      <w:tr>
        <w:tc>
          <w:tcPr>
            <w:tcW w:type="dxa" w:w="270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Future integration priorities</w:t>
            </w:r>
          </w:p>
        </w:tc>
        <w:tc>
          <w:tcPr>
            <w:tcW w:type="dxa" w:w="6660"/>
            <w:tcBorders>
              <w:top w:val="single" w:sz="4" w:color="D9E0E7"/>
              <w:bottom w:val="single" w:sz="4" w:color="D9E0E7"/>
              <w:start w:val="single" w:sz="4" w:color="D9E0E7"/>
              <w:end w:val="single" w:sz="4" w:color="D9E0E7"/>
            </w:tcBorders>
          </w:tcPr>
          <w:p>
            <w:pPr>
              <w:spacing w:before="0" w:after="0" w:line="252" w:lineRule="auto"/>
            </w:pPr>
            <w:r>
              <w:rPr>
                <w:rFonts w:ascii="Calibri" w:hAnsi="Calibri"/>
                <w:b w:val="0"/>
                <w:i w:val="0"/>
                <w:color w:val="0B2545"/>
                <w:sz w:val="19"/>
              </w:rPr>
              <w:t>Identify the first scanner, printer, carrier, or order-source integration after core software stabilizes.</w:t>
            </w:r>
          </w:p>
        </w:tc>
      </w:tr>
    </w:tbl>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val="clear"/>
            <w:tcBorders>
              <w:top w:val="single" w:sz="6" w:color="C9D4E3"/>
              <w:bottom w:val="single" w:sz="6" w:color="C9D4E3"/>
              <w:start w:val="single" w:sz="6" w:color="C9D4E3"/>
              <w:end w:val="single" w:sz="6" w:color="C9D4E3"/>
            </w:tcBorders>
          </w:tcPr>
          <w:p>
            <w:pPr>
              <w:spacing w:before="0" w:after="0" w:line="264" w:lineRule="auto"/>
            </w:pPr>
            <w:r>
              <w:rPr>
                <w:rFonts w:ascii="Calibri" w:hAnsi="Calibri"/>
                <w:b/>
                <w:i w:val="0"/>
                <w:color w:val="0B2545"/>
                <w:sz w:val="22"/>
              </w:rPr>
              <w:t xml:space="preserve">Recommended next step: </w:t>
            </w:r>
            <w:r>
              <w:rPr>
                <w:rFonts w:ascii="Calibri" w:hAnsi="Calibri"/>
                <w:b w:val="0"/>
                <w:i w:val="0"/>
                <w:color w:val="0B2545"/>
                <w:sz w:val="22"/>
              </w:rPr>
              <w:t>Approve the core software scope and conduct a focused workflow/data discovery session. That session converts the policy decisions above into configured application rules and a final delivery schedule.</w:t>
            </w:r>
          </w:p>
        </w:tc>
      </w:tr>
    </w:tbl>
    <w:p>
      <w:pPr>
        <w:spacing w:before="0" w:after="40" w:line="264"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b w:val="0"/>
        <w:i w:val="0"/>
        <w:color w:val="5B6573"/>
        <w:sz w:val="17"/>
      </w:rPr>
      <w:t xml:space="preserve">Warehouse Operations Application | Confidential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b/>
        <w:i w:val="0"/>
        <w:color w:val="5B6573"/>
        <w:sz w:val="17"/>
      </w:rPr>
      <w:t>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