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20" w:after="360"/>
        <w:jc w:val="center"/>
      </w:pPr>
      <w:r>
        <w:rPr>
          <w:rFonts w:ascii="Calibri" w:hAnsi="Calibri"/>
          <w:b/>
          <w:color w:val="2E74B5"/>
          <w:sz w:val="22"/>
        </w:rPr>
        <w:t>CSCI927 · SERVICE MODELLING DELIVERABLE</w:t>
      </w:r>
    </w:p>
    <w:p>
      <w:pPr>
        <w:spacing w:after="200"/>
        <w:jc w:val="center"/>
      </w:pPr>
      <w:r>
        <w:rPr>
          <w:rFonts w:ascii="Calibri" w:hAnsi="Calibri"/>
          <w:b/>
          <w:color w:val="18364B"/>
          <w:sz w:val="56"/>
        </w:rPr>
        <w:t>City Parking Management Center</w:t>
      </w:r>
    </w:p>
    <w:p>
      <w:pPr>
        <w:spacing w:after="560"/>
        <w:jc w:val="center"/>
      </w:pPr>
      <w:r>
        <w:rPr>
          <w:rFonts w:ascii="Calibri" w:hAnsi="Calibri"/>
          <w:color w:val="1F4D78"/>
          <w:sz w:val="32"/>
        </w:rPr>
        <w:t>BSRL Specifications, BPMN Process Models</w:t>
        <w:br/>
        <w:t>and Semantic Effect Annotations</w:t>
      </w:r>
    </w:p>
    <w:tbl>
      <w:tblPr>
        <w:tblStyle w:val="TableGrid"/>
        <w:tblW w:type="dxa" w:w="9360"/>
        <w:tblLook w:firstColumn="1" w:firstRow="1" w:lastColumn="0" w:lastRow="0" w:noHBand="0" w:noVBand="1" w:val="04A0"/>
        <w:tblInd w:w="120" w:type="dxa"/>
        <w:tblLayout w:type="fixed"/>
      </w:tblPr>
      <w:tblGrid>
        <w:gridCol w:w="9360"/>
      </w:tblGrid>
      <w:tr>
        <w:trPr>
          <w:cantSplit/>
        </w:trPr>
        <w:tc>
          <w:tcPr>
            <w:tcW w:type="dxa" w:w="9360"/>
            <w:shd w:fill="E8EEF5"/>
            <w:tcMar>
              <w:top w:w="80" w:type="dxa"/>
              <w:bottom w:w="80" w:type="dxa"/>
              <w:start w:w="120" w:type="dxa"/>
              <w:end w:w="120" w:type="dxa"/>
            </w:tcMar>
            <w:vAlign w:val="center"/>
          </w:tcPr>
          <w:p>
            <w:pPr>
              <w:spacing w:before="40" w:after="40" w:line="276" w:lineRule="auto"/>
            </w:pPr>
            <w:r/>
            <w:r>
              <w:rPr>
                <w:rFonts w:ascii="Calibri" w:hAnsi="Calibri"/>
                <w:b/>
                <w:color w:val="18364B"/>
                <w:sz w:val="20"/>
              </w:rPr>
              <w:t xml:space="preserve">Deliverable scope: </w:t>
            </w:r>
            <w:r>
              <w:rPr>
                <w:rFonts w:ascii="Calibri" w:hAnsi="Calibri"/>
                <w:color w:val="1F2937"/>
                <w:sz w:val="20"/>
              </w:rPr>
              <w:t>Two service descriptions, two BPMN collaboration models, immediate effect annotations for every modelled task, and cumulative effect scenarios for the principal normal and exceptional paths.</w:t>
            </w:r>
          </w:p>
        </w:tc>
      </w:tr>
    </w:tbl>
    <w:p>
      <w:pPr>
        <w:spacing w:before="0" w:after="0" w:line="140" w:lineRule="exact"/>
      </w:pPr>
      <w:r/>
    </w:p>
    <w:p>
      <w:pPr>
        <w:spacing w:before="1560"/>
        <w:jc w:val="center"/>
      </w:pPr>
      <w:r>
        <w:rPr>
          <w:rFonts w:ascii="Calibri" w:hAnsi="Calibri"/>
          <w:color w:val="667085"/>
          <w:sz w:val="22"/>
        </w:rPr>
        <w:t>Prepared by Member E</w:t>
        <w:br/>
        <w:t>ServiceUniverse · commit a8b222d</w:t>
        <w:br/>
        <w:t>August 2026</w:t>
      </w:r>
    </w:p>
    <w:p>
      <w:r>
        <w:br w:type="page"/>
      </w:r>
    </w:p>
    <w:p>
      <w:pPr>
        <w:pStyle w:val="Heading1"/>
        <w:keepNext/>
      </w:pPr>
      <w:r>
        <w:rPr>
          <w:rFonts w:ascii="Calibri" w:hAnsi="Calibri"/>
          <w:b/>
          <w:color w:val="2E74B5"/>
          <w:sz w:val="32"/>
        </w:rPr>
        <w:t>1. Modelling Basis and Scope</w:t>
      </w:r>
    </w:p>
    <w:p>
      <w:pPr>
        <w:spacing w:before="0" w:after="120" w:line="300" w:lineRule="auto"/>
      </w:pPr>
      <w:r>
        <w:rPr>
          <w:rFonts w:ascii="Calibri" w:hAnsi="Calibri"/>
          <w:color w:val="1F2937"/>
          <w:sz w:val="22"/>
        </w:rPr>
        <w:t>This package translates the implemented ServiceUniverse parking capability into the three modelling artefacts required by the course. It describes the Public Parking Availability Service, the Parking Billing and Payment Service, and their observable behaviour through the shared API Gateway.</w:t>
      </w:r>
    </w:p>
    <w:tbl>
      <w:tblPr>
        <w:tblStyle w:val="TableGrid"/>
        <w:tblW w:type="dxa" w:w="9360"/>
        <w:tblLook w:firstColumn="1" w:firstRow="1" w:lastColumn="0" w:lastRow="0" w:noHBand="0" w:noVBand="1" w:val="04A0"/>
        <w:tblInd w:w="120" w:type="dxa"/>
        <w:tblLayout w:type="fixed"/>
      </w:tblPr>
      <w:tblGrid>
        <w:gridCol w:w="9360"/>
      </w:tblGrid>
      <w:tr>
        <w:trPr>
          <w:cantSplit/>
        </w:trPr>
        <w:tc>
          <w:tcPr>
            <w:tcW w:type="dxa" w:w="9360"/>
            <w:shd w:fill="E9F4EE"/>
            <w:tcMar>
              <w:top w:w="80" w:type="dxa"/>
              <w:bottom w:w="80" w:type="dxa"/>
              <w:start w:w="120" w:type="dxa"/>
              <w:end w:w="120" w:type="dxa"/>
            </w:tcMar>
            <w:vAlign w:val="center"/>
          </w:tcPr>
          <w:p>
            <w:pPr>
              <w:spacing w:before="40" w:after="40" w:line="276" w:lineRule="auto"/>
            </w:pPr>
            <w:r/>
            <w:r>
              <w:rPr>
                <w:rFonts w:ascii="Calibri" w:hAnsi="Calibri"/>
                <w:b/>
                <w:color w:val="18364B"/>
                <w:sz w:val="20"/>
              </w:rPr>
              <w:t xml:space="preserve">Implementation baseline: </w:t>
            </w:r>
            <w:r>
              <w:rPr>
                <w:rFonts w:ascii="Calibri" w:hAnsi="Calibri"/>
                <w:color w:val="1F2937"/>
                <w:sz w:val="20"/>
              </w:rPr>
              <w:t>The specifications are traced to the OpenAPI contracts, FastAPI services, independent SQLite repositories, pricing rule and frozen process-activity dictionary at commit a8b222d. Sixteen targeted parking tests pass locally; the only reported warning is an upstream TestClient deprecation warning.</w:t>
            </w:r>
          </w:p>
        </w:tc>
      </w:tr>
    </w:tbl>
    <w:p>
      <w:pPr>
        <w:spacing w:before="0" w:after="0" w:line="140" w:lineRule="exact"/>
      </w:pPr>
      <w:r/>
    </w:p>
    <w:tbl>
      <w:tblPr>
        <w:tblStyle w:val="TableGrid"/>
        <w:tblW w:type="dxa" w:w="9360"/>
        <w:tblLook w:firstColumn="1" w:firstRow="1" w:lastColumn="0" w:lastRow="0" w:noHBand="0" w:noVBand="1" w:val="04A0"/>
        <w:tblInd w:w="120" w:type="dxa"/>
        <w:tblLayout w:type="fixed"/>
      </w:tblPr>
      <w:tblGrid>
        <w:gridCol w:w="1900"/>
        <w:gridCol w:w="2600"/>
        <w:gridCol w:w="4860"/>
      </w:tblGrid>
      <w:tr>
        <w:trPr>
          <w:tblHeader w:val="true"/>
          <w:cantSplit/>
        </w:trPr>
        <w:tc>
          <w:tcPr>
            <w:tcW w:type="dxa" w:w="190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8"/>
              </w:rPr>
              <w:t>Artefact</w:t>
            </w:r>
          </w:p>
        </w:tc>
        <w:tc>
          <w:tcPr>
            <w:tcW w:type="dxa" w:w="260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8"/>
              </w:rPr>
              <w:t>Course basis</w:t>
            </w:r>
          </w:p>
        </w:tc>
        <w:tc>
          <w:tcPr>
            <w:tcW w:type="dxa" w:w="486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8"/>
              </w:rPr>
              <w:t>Applied interpretation</w:t>
            </w:r>
          </w:p>
        </w:tc>
      </w:tr>
      <w:tr>
        <w:trPr>
          <w:cantSplit/>
        </w:trPr>
        <w:tc>
          <w:tcPr>
            <w:tcW w:type="dxa" w:w="1900"/>
            <w:tcMar>
              <w:top w:w="80" w:type="dxa"/>
              <w:bottom w:w="80" w:type="dxa"/>
              <w:start w:w="120" w:type="dxa"/>
              <w:end w:w="120" w:type="dxa"/>
            </w:tcMar>
            <w:vAlign w:val="center"/>
          </w:tcPr>
          <w:p>
            <w:pPr>
              <w:spacing w:before="0" w:after="40" w:line="259" w:lineRule="auto"/>
            </w:pPr>
            <w:r/>
            <w:r>
              <w:rPr>
                <w:rFonts w:ascii="Calibri" w:hAnsi="Calibri"/>
                <w:b w:val="0"/>
                <w:color w:val="1F2937"/>
                <w:sz w:val="18"/>
              </w:rPr>
              <w:t>BSRL</w:t>
            </w:r>
          </w:p>
        </w:tc>
        <w:tc>
          <w:tcPr>
            <w:tcW w:type="dxa" w:w="2600"/>
            <w:tcMar>
              <w:top w:w="80" w:type="dxa"/>
              <w:bottom w:w="80" w:type="dxa"/>
              <w:start w:w="120" w:type="dxa"/>
              <w:end w:w="120" w:type="dxa"/>
            </w:tcMar>
            <w:vAlign w:val="center"/>
          </w:tcPr>
          <w:p>
            <w:pPr>
              <w:spacing w:before="0" w:after="40" w:line="259" w:lineRule="auto"/>
            </w:pPr>
            <w:r/>
            <w:r>
              <w:rPr>
                <w:rFonts w:ascii="Calibri" w:hAnsi="Calibri"/>
                <w:b w:val="0"/>
                <w:color w:val="1F2937"/>
                <w:sz w:val="18"/>
              </w:rPr>
              <w:t>Service Modelling, slides 4-10</w:t>
            </w:r>
          </w:p>
        </w:tc>
        <w:tc>
          <w:tcPr>
            <w:tcW w:type="dxa" w:w="4860"/>
            <w:tcMar>
              <w:top w:w="80" w:type="dxa"/>
              <w:bottom w:w="80" w:type="dxa"/>
              <w:start w:w="120" w:type="dxa"/>
              <w:end w:w="120" w:type="dxa"/>
            </w:tcMar>
            <w:vAlign w:val="center"/>
          </w:tcPr>
          <w:p>
            <w:pPr>
              <w:spacing w:before="0" w:after="40" w:line="259" w:lineRule="auto"/>
            </w:pPr>
            <w:r/>
            <w:r>
              <w:rPr>
                <w:rFonts w:ascii="Calibri" w:hAnsi="Calibri"/>
                <w:b w:val="0"/>
                <w:color w:val="1F2937"/>
                <w:sz w:val="18"/>
              </w:rPr>
              <w:t>Goal, conditions, assumptions, inputs/outputs, resources, key steps, QoS, delivery and contractual factors.</w:t>
            </w:r>
          </w:p>
        </w:tc>
      </w:tr>
      <w:tr>
        <w:trPr>
          <w:cantSplit/>
        </w:trPr>
        <w:tc>
          <w:tcPr>
            <w:tcW w:type="dxa" w:w="1900"/>
            <w:tcMar>
              <w:top w:w="80" w:type="dxa"/>
              <w:bottom w:w="80" w:type="dxa"/>
              <w:start w:w="120" w:type="dxa"/>
              <w:end w:w="120" w:type="dxa"/>
            </w:tcMar>
            <w:vAlign w:val="center"/>
          </w:tcPr>
          <w:p>
            <w:pPr>
              <w:spacing w:before="0" w:after="40" w:line="259" w:lineRule="auto"/>
            </w:pPr>
            <w:r/>
            <w:r>
              <w:rPr>
                <w:rFonts w:ascii="Calibri" w:hAnsi="Calibri"/>
                <w:b w:val="0"/>
                <w:color w:val="1F2937"/>
                <w:sz w:val="18"/>
              </w:rPr>
              <w:t>BPMN</w:t>
            </w:r>
          </w:p>
        </w:tc>
        <w:tc>
          <w:tcPr>
            <w:tcW w:type="dxa" w:w="2600"/>
            <w:tcMar>
              <w:top w:w="80" w:type="dxa"/>
              <w:bottom w:w="80" w:type="dxa"/>
              <w:start w:w="120" w:type="dxa"/>
              <w:end w:w="120" w:type="dxa"/>
            </w:tcMar>
            <w:vAlign w:val="center"/>
          </w:tcPr>
          <w:p>
            <w:pPr>
              <w:spacing w:before="0" w:after="40" w:line="259" w:lineRule="auto"/>
            </w:pPr>
            <w:r/>
            <w:r>
              <w:rPr>
                <w:rFonts w:ascii="Calibri" w:hAnsi="Calibri"/>
                <w:b w:val="0"/>
                <w:color w:val="1F2937"/>
                <w:sz w:val="18"/>
              </w:rPr>
              <w:t>Business Process Modelling and Management</w:t>
            </w:r>
          </w:p>
        </w:tc>
        <w:tc>
          <w:tcPr>
            <w:tcW w:type="dxa" w:w="4860"/>
            <w:tcMar>
              <w:top w:w="80" w:type="dxa"/>
              <w:bottom w:w="80" w:type="dxa"/>
              <w:start w:w="120" w:type="dxa"/>
              <w:end w:w="120" w:type="dxa"/>
            </w:tcMar>
            <w:vAlign w:val="center"/>
          </w:tcPr>
          <w:p>
            <w:pPr>
              <w:spacing w:before="0" w:after="40" w:line="259" w:lineRule="auto"/>
            </w:pPr>
            <w:r/>
            <w:r>
              <w:rPr>
                <w:rFonts w:ascii="Calibri" w:hAnsi="Calibri"/>
                <w:b w:val="0"/>
                <w:color w:val="1F2937"/>
                <w:sz w:val="18"/>
              </w:rPr>
              <w:t>Events, tasks, exclusive gateways, pools/lanes, sequence flows, message flows, data objects and error paths.</w:t>
            </w:r>
          </w:p>
        </w:tc>
      </w:tr>
      <w:tr>
        <w:trPr>
          <w:cantSplit/>
        </w:trPr>
        <w:tc>
          <w:tcPr>
            <w:tcW w:type="dxa" w:w="1900"/>
            <w:tcMar>
              <w:top w:w="80" w:type="dxa"/>
              <w:bottom w:w="80" w:type="dxa"/>
              <w:start w:w="120" w:type="dxa"/>
              <w:end w:w="120" w:type="dxa"/>
            </w:tcMar>
            <w:vAlign w:val="center"/>
          </w:tcPr>
          <w:p>
            <w:pPr>
              <w:spacing w:before="0" w:after="40" w:line="259" w:lineRule="auto"/>
            </w:pPr>
            <w:r/>
            <w:r>
              <w:rPr>
                <w:rFonts w:ascii="Calibri" w:hAnsi="Calibri"/>
                <w:b w:val="0"/>
                <w:color w:val="1F2937"/>
                <w:sz w:val="18"/>
              </w:rPr>
              <w:t>Semantic annotation</w:t>
            </w:r>
          </w:p>
        </w:tc>
        <w:tc>
          <w:tcPr>
            <w:tcW w:type="dxa" w:w="2600"/>
            <w:tcMar>
              <w:top w:w="80" w:type="dxa"/>
              <w:bottom w:w="80" w:type="dxa"/>
              <w:start w:w="120" w:type="dxa"/>
              <w:end w:w="120" w:type="dxa"/>
            </w:tcMar>
            <w:vAlign w:val="center"/>
          </w:tcPr>
          <w:p>
            <w:pPr>
              <w:spacing w:before="0" w:after="40" w:line="259" w:lineRule="auto"/>
            </w:pPr>
            <w:r/>
            <w:r>
              <w:rPr>
                <w:rFonts w:ascii="Calibri" w:hAnsi="Calibri"/>
                <w:b w:val="0"/>
                <w:color w:val="1F2937"/>
                <w:sz w:val="18"/>
              </w:rPr>
              <w:t>Semantic Processes and Services, slides 8-24</w:t>
            </w:r>
          </w:p>
        </w:tc>
        <w:tc>
          <w:tcPr>
            <w:tcW w:type="dxa" w:w="4860"/>
            <w:tcMar>
              <w:top w:w="80" w:type="dxa"/>
              <w:bottom w:w="80" w:type="dxa"/>
              <w:start w:w="120" w:type="dxa"/>
              <w:end w:w="120" w:type="dxa"/>
            </w:tcMar>
            <w:vAlign w:val="center"/>
          </w:tcPr>
          <w:p>
            <w:pPr>
              <w:spacing w:before="0" w:after="40" w:line="259" w:lineRule="auto"/>
            </w:pPr>
            <w:r/>
            <w:r>
              <w:rPr>
                <w:rFonts w:ascii="Calibri" w:hAnsi="Calibri"/>
                <w:b w:val="0"/>
                <w:color w:val="1F2937"/>
                <w:sz w:val="18"/>
              </w:rPr>
              <w:t>Business objects, immediate effects on tasks, cumulative effects, scenario labels and mutually exclusive paths.</w:t>
            </w:r>
          </w:p>
        </w:tc>
      </w:tr>
    </w:tbl>
    <w:p>
      <w:pPr>
        <w:spacing w:before="0" w:after="0" w:line="140" w:lineRule="exact"/>
      </w:pPr>
      <w:r/>
    </w:p>
    <w:p>
      <w:pPr>
        <w:pStyle w:val="Heading2"/>
        <w:keepNext/>
      </w:pPr>
      <w:r>
        <w:rPr>
          <w:rFonts w:ascii="Calibri" w:hAnsi="Calibri"/>
          <w:b/>
          <w:color w:val="2E74B5"/>
          <w:sz w:val="26"/>
        </w:rPr>
        <w:t>1.1 Notation</w:t>
      </w:r>
    </w:p>
    <w:p>
      <w:pPr>
        <w:spacing w:before="0" w:after="120" w:line="300" w:lineRule="auto"/>
      </w:pPr>
      <w:r>
        <w:rPr>
          <w:rFonts w:ascii="Calibri" w:hAnsi="Calibri"/>
          <w:color w:val="1F2937"/>
          <w:sz w:val="22"/>
        </w:rPr>
        <w:t>Predicates use lower-case names and variables: l = parking lot, r = request, s = parking session, c = citizen, v = vehicle, f = parking fee, p = payment, n = available-space value, t = time, a = monetary amount. The symbol ¬ denotes negation and ∧ denotes conjunction. Effects describe the state immediately after successful completion unless an exceptional result is stated.</w:t>
      </w:r>
    </w:p>
    <w:p>
      <w:pPr>
        <w:pStyle w:val="Heading1"/>
        <w:keepNext/>
      </w:pPr>
      <w:r>
        <w:rPr>
          <w:rFonts w:ascii="Calibri" w:hAnsi="Calibri"/>
          <w:b/>
          <w:color w:val="2E74B5"/>
          <w:sz w:val="32"/>
        </w:rPr>
        <w:t>2. BSRL - Public Parking Availability Service</w:t>
      </w:r>
    </w:p>
    <w:tbl>
      <w:tblPr>
        <w:tblStyle w:val="TableGrid"/>
        <w:tblW w:type="dxa" w:w="9360"/>
        <w:tblLook w:firstColumn="1" w:firstRow="1" w:lastColumn="0" w:lastRow="0" w:noHBand="0" w:noVBand="1" w:val="04A0"/>
        <w:tblInd w:w="120" w:type="dxa"/>
        <w:tblLayout w:type="fixed"/>
      </w:tblPr>
      <w:tblGrid>
        <w:gridCol w:w="2700"/>
        <w:gridCol w:w="6660"/>
      </w:tblGrid>
      <w:tr>
        <w:trPr>
          <w:cantSplit/>
        </w:trPr>
        <w:tc>
          <w:tcPr>
            <w:tcW w:type="dxa" w:w="270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8"/>
              </w:rPr>
              <w:t>Service description</w:t>
            </w:r>
          </w:p>
        </w:tc>
        <w:tc>
          <w:tcPr>
            <w:tcW w:type="dxa" w:w="6660"/>
            <w:tcMar>
              <w:top w:w="80" w:type="dxa"/>
              <w:bottom w:w="80" w:type="dxa"/>
              <w:start w:w="120" w:type="dxa"/>
              <w:end w:w="120" w:type="dxa"/>
            </w:tcMar>
            <w:vAlign w:val="center"/>
          </w:tcPr>
          <w:p>
            <w:pPr>
              <w:spacing w:before="0" w:after="40" w:line="259" w:lineRule="auto"/>
            </w:pPr>
            <w:r/>
            <w:r>
              <w:rPr>
                <w:rFonts w:ascii="Calibri" w:hAnsi="Calibri"/>
                <w:b w:val="0"/>
                <w:color w:val="1F2937"/>
                <w:sz w:val="18"/>
              </w:rPr>
              <w:t>Public Parking Availability Service (service slug: parking-availability; implementation type: selected microservice).</w:t>
            </w:r>
          </w:p>
        </w:tc>
      </w:tr>
      <w:tr>
        <w:trPr>
          <w:cantSplit/>
        </w:trPr>
        <w:tc>
          <w:tcPr>
            <w:tcW w:type="dxa" w:w="270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8"/>
              </w:rPr>
              <w:t>Goal</w:t>
            </w:r>
          </w:p>
        </w:tc>
        <w:tc>
          <w:tcPr>
            <w:tcW w:type="dxa" w:w="6660"/>
            <w:tcMar>
              <w:top w:w="80" w:type="dxa"/>
              <w:bottom w:w="80" w:type="dxa"/>
              <w:start w:w="120" w:type="dxa"/>
              <w:end w:w="120" w:type="dxa"/>
            </w:tcMar>
            <w:vAlign w:val="center"/>
          </w:tcPr>
          <w:p>
            <w:pPr>
              <w:spacing w:before="0" w:after="40" w:line="259" w:lineRule="auto"/>
            </w:pPr>
            <w:r/>
            <w:r>
              <w:rPr>
                <w:rFonts w:ascii="Calibri" w:hAnsi="Calibri"/>
                <w:b w:val="0"/>
                <w:color w:val="1F2937"/>
                <w:sz w:val="18"/>
              </w:rPr>
              <w:t>Achieve an accurate, queryable representation of current public parking capacity and permit a validated availability update. The goal is satisfied when the consumer receives either the current ParkingLot resource(s) or an explicit contract-defined error without unintended data mutation.</w:t>
            </w:r>
          </w:p>
        </w:tc>
      </w:tr>
      <w:tr>
        <w:trPr>
          <w:cantSplit/>
        </w:trPr>
        <w:tc>
          <w:tcPr>
            <w:tcW w:type="dxa" w:w="270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8"/>
              </w:rPr>
              <w:t>Preconditions</w:t>
            </w:r>
          </w:p>
        </w:tc>
        <w:tc>
          <w:tcPr>
            <w:tcW w:type="dxa" w:w="6660"/>
            <w:tcMar>
              <w:top w:w="80" w:type="dxa"/>
              <w:bottom w:w="80" w:type="dxa"/>
              <w:start w:w="120" w:type="dxa"/>
              <w:end w:w="120" w:type="dxa"/>
            </w:tcMar>
            <w:vAlign w:val="center"/>
          </w:tcPr>
          <w:p>
            <w:pPr>
              <w:spacing w:before="0" w:after="40" w:line="259" w:lineRule="auto"/>
            </w:pPr>
            <w:r/>
            <w:r>
              <w:rPr>
                <w:rFonts w:ascii="Calibri" w:hAnsi="Calibri"/>
                <w:b w:val="0"/>
                <w:color w:val="1F2937"/>
                <w:sz w:val="18"/>
              </w:rPr>
              <w:t>The service and its independent store are available. For a single-lot query or update, lot_id is supplied. For an update, available_spaces is an integer greater than or equal to zero; the parking lot exists; and available_spaces does not exceed total_spaces.</w:t>
            </w:r>
          </w:p>
        </w:tc>
      </w:tr>
      <w:tr>
        <w:trPr>
          <w:cantSplit/>
        </w:trPr>
        <w:tc>
          <w:tcPr>
            <w:tcW w:type="dxa" w:w="270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8"/>
              </w:rPr>
              <w:t>Postconditions</w:t>
            </w:r>
          </w:p>
        </w:tc>
        <w:tc>
          <w:tcPr>
            <w:tcW w:type="dxa" w:w="6660"/>
            <w:tcMar>
              <w:top w:w="80" w:type="dxa"/>
              <w:bottom w:w="80" w:type="dxa"/>
              <w:start w:w="120" w:type="dxa"/>
              <w:end w:w="120" w:type="dxa"/>
            </w:tcMar>
            <w:vAlign w:val="center"/>
          </w:tcPr>
          <w:p>
            <w:pPr>
              <w:spacing w:before="0" w:after="40" w:line="259" w:lineRule="auto"/>
            </w:pPr>
            <w:r/>
            <w:r>
              <w:rPr>
                <w:rFonts w:ascii="Calibri" w:hAnsi="Calibri"/>
                <w:b w:val="0"/>
                <w:color w:val="1F2937"/>
                <w:sz w:val="18"/>
              </w:rPr>
              <w:t>List/query returns current ParkingLot data with a derived availability_status. A valid update persists available_spaces and a UTC updated_at value, then returns the updated resource. Invalid or unknown requests return a stable error and leave stored availability unchanged.</w:t>
            </w:r>
          </w:p>
        </w:tc>
      </w:tr>
      <w:tr>
        <w:trPr>
          <w:cantSplit/>
        </w:trPr>
        <w:tc>
          <w:tcPr>
            <w:tcW w:type="dxa" w:w="270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8"/>
              </w:rPr>
              <w:t>Assumptions</w:t>
            </w:r>
          </w:p>
        </w:tc>
        <w:tc>
          <w:tcPr>
            <w:tcW w:type="dxa" w:w="6660"/>
            <w:tcMar>
              <w:top w:w="80" w:type="dxa"/>
              <w:bottom w:w="80" w:type="dxa"/>
              <w:start w:w="120" w:type="dxa"/>
              <w:end w:w="120" w:type="dxa"/>
            </w:tcMar>
            <w:vAlign w:val="center"/>
          </w:tcPr>
          <w:p>
            <w:pPr>
              <w:spacing w:before="0" w:after="40" w:line="259" w:lineRule="auto"/>
            </w:pPr>
            <w:r/>
            <w:r>
              <w:rPr>
                <w:rFonts w:ascii="Calibri" w:hAnsi="Calibri"/>
                <w:b w:val="0"/>
                <w:color w:val="1F2937"/>
                <w:sz w:val="18"/>
              </w:rPr>
              <w:t>The upstream operator or sensor provides a truthful occupancy value. total_spaces is authoritative. All exchanged timestamps use ISO 8601/UTC. The prototype does not reserve spaces and does not infer occupancy from Parking Billing.</w:t>
            </w:r>
          </w:p>
        </w:tc>
      </w:tr>
      <w:tr>
        <w:trPr>
          <w:cantSplit/>
        </w:trPr>
        <w:tc>
          <w:tcPr>
            <w:tcW w:type="dxa" w:w="270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8"/>
              </w:rPr>
              <w:t>Resources</w:t>
            </w:r>
          </w:p>
        </w:tc>
        <w:tc>
          <w:tcPr>
            <w:tcW w:type="dxa" w:w="6660"/>
            <w:tcMar>
              <w:top w:w="80" w:type="dxa"/>
              <w:bottom w:w="80" w:type="dxa"/>
              <w:start w:w="120" w:type="dxa"/>
              <w:end w:w="120" w:type="dxa"/>
            </w:tcMar>
            <w:vAlign w:val="center"/>
          </w:tcPr>
          <w:p>
            <w:pPr>
              <w:spacing w:before="0" w:after="40" w:line="259" w:lineRule="auto"/>
            </w:pPr>
            <w:r/>
            <w:r>
              <w:rPr>
                <w:rFonts w:ascii="Calibri" w:hAnsi="Calibri"/>
                <w:b w:val="0"/>
                <w:color w:val="1F2937"/>
                <w:sz w:val="18"/>
              </w:rPr>
              <w:t>FastAPI service; independent SQLite parking_lots table; SQLAlchemy repository; service-specific Dockerfile; OpenAPI contract; API Gateway router; service-specific frontend page.</w:t>
            </w:r>
          </w:p>
        </w:tc>
      </w:tr>
    </w:tbl>
    <w:p>
      <w:pPr>
        <w:spacing w:before="0" w:after="0" w:line="140" w:lineRule="exact"/>
      </w:pPr>
      <w:r/>
    </w:p>
    <w:p>
      <w:pPr>
        <w:pStyle w:val="Heading2"/>
        <w:keepNext/>
      </w:pPr>
      <w:r>
        <w:rPr>
          <w:rFonts w:ascii="Calibri" w:hAnsi="Calibri"/>
          <w:b/>
          <w:color w:val="2E74B5"/>
          <w:sz w:val="26"/>
        </w:rPr>
        <w:t>2.1 Inputs and Outputs</w:t>
      </w:r>
    </w:p>
    <w:tbl>
      <w:tblPr>
        <w:tblStyle w:val="TableGrid"/>
        <w:tblW w:type="dxa" w:w="9360"/>
        <w:tblLook w:firstColumn="1" w:firstRow="1" w:lastColumn="0" w:lastRow="0" w:noHBand="0" w:noVBand="1" w:val="04A0"/>
        <w:tblInd w:w="120" w:type="dxa"/>
        <w:tblLayout w:type="fixed"/>
      </w:tblPr>
      <w:tblGrid>
        <w:gridCol w:w="1500"/>
        <w:gridCol w:w="2300"/>
        <w:gridCol w:w="2400"/>
        <w:gridCol w:w="3160"/>
      </w:tblGrid>
      <w:tr>
        <w:trPr>
          <w:tblHeader w:val="true"/>
          <w:cantSplit/>
        </w:trPr>
        <w:tc>
          <w:tcPr>
            <w:tcW w:type="dxa" w:w="150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7"/>
              </w:rPr>
              <w:t>Operation</w:t>
            </w:r>
          </w:p>
        </w:tc>
        <w:tc>
          <w:tcPr>
            <w:tcW w:type="dxa" w:w="230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7"/>
              </w:rPr>
              <w:t>Input</w:t>
            </w:r>
          </w:p>
        </w:tc>
        <w:tc>
          <w:tcPr>
            <w:tcW w:type="dxa" w:w="240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7"/>
              </w:rPr>
              <w:t>Success output</w:t>
            </w:r>
          </w:p>
        </w:tc>
        <w:tc>
          <w:tcPr>
            <w:tcW w:type="dxa" w:w="316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7"/>
              </w:rPr>
              <w:t>Exceptional output</w:t>
            </w:r>
          </w:p>
        </w:tc>
      </w:tr>
      <w:tr>
        <w:trPr>
          <w:cantSplit/>
        </w:trPr>
        <w:tc>
          <w:tcPr>
            <w:tcW w:type="dxa" w:w="15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List parking lots</w:t>
            </w:r>
          </w:p>
        </w:tc>
        <w:tc>
          <w:tcPr>
            <w:tcW w:type="dxa" w:w="23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No body</w:t>
            </w:r>
          </w:p>
        </w:tc>
        <w:tc>
          <w:tcPr>
            <w:tcW w:type="dxa" w:w="24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200; array of ParkingLot resources</w:t>
            </w:r>
          </w:p>
        </w:tc>
        <w:tc>
          <w:tcPr>
            <w:tcW w:type="dxa" w:w="3160"/>
            <w:tcMar>
              <w:top w:w="80" w:type="dxa"/>
              <w:bottom w:w="80" w:type="dxa"/>
              <w:start w:w="120" w:type="dxa"/>
              <w:end w:w="120" w:type="dxa"/>
            </w:tcMar>
            <w:vAlign w:val="center"/>
          </w:tcPr>
          <w:p>
            <w:pPr>
              <w:spacing w:before="0" w:after="40" w:line="259" w:lineRule="auto"/>
            </w:pPr>
            <w:r/>
            <w:r>
              <w:rPr>
                <w:rFonts w:ascii="Calibri" w:hAnsi="Calibri"/>
                <w:b w:val="0"/>
                <w:color w:val="1F2937"/>
                <w:sz w:val="17"/>
              </w:rPr>
              <w:t>422 for malformed request metadata if applicable</w:t>
            </w:r>
          </w:p>
        </w:tc>
      </w:tr>
      <w:tr>
        <w:trPr>
          <w:cantSplit/>
        </w:trPr>
        <w:tc>
          <w:tcPr>
            <w:tcW w:type="dxa" w:w="15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Get parking lot</w:t>
            </w:r>
          </w:p>
        </w:tc>
        <w:tc>
          <w:tcPr>
            <w:tcW w:type="dxa" w:w="23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lot_id: path string</w:t>
            </w:r>
          </w:p>
        </w:tc>
        <w:tc>
          <w:tcPr>
            <w:tcW w:type="dxa" w:w="24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200; one ParkingLot resource</w:t>
            </w:r>
          </w:p>
        </w:tc>
        <w:tc>
          <w:tcPr>
            <w:tcW w:type="dxa" w:w="3160"/>
            <w:tcMar>
              <w:top w:w="80" w:type="dxa"/>
              <w:bottom w:w="80" w:type="dxa"/>
              <w:start w:w="120" w:type="dxa"/>
              <w:end w:w="120" w:type="dxa"/>
            </w:tcMar>
            <w:vAlign w:val="center"/>
          </w:tcPr>
          <w:p>
            <w:pPr>
              <w:spacing w:before="0" w:after="40" w:line="259" w:lineRule="auto"/>
            </w:pPr>
            <w:r/>
            <w:r>
              <w:rPr>
                <w:rFonts w:ascii="Calibri" w:hAnsi="Calibri"/>
                <w:b w:val="0"/>
                <w:color w:val="1F2937"/>
                <w:sz w:val="17"/>
              </w:rPr>
              <w:t>404 PARKING_LOT_NOT_FOUND</w:t>
            </w:r>
          </w:p>
        </w:tc>
      </w:tr>
      <w:tr>
        <w:trPr>
          <w:cantSplit/>
        </w:trPr>
        <w:tc>
          <w:tcPr>
            <w:tcW w:type="dxa" w:w="15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Update availability</w:t>
            </w:r>
          </w:p>
        </w:tc>
        <w:tc>
          <w:tcPr>
            <w:tcW w:type="dxa" w:w="23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lot_id; JSON available_spaces: integer &gt;= 0</w:t>
            </w:r>
          </w:p>
        </w:tc>
        <w:tc>
          <w:tcPr>
            <w:tcW w:type="dxa" w:w="24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200; persisted ParkingLot resource</w:t>
            </w:r>
          </w:p>
        </w:tc>
        <w:tc>
          <w:tcPr>
            <w:tcW w:type="dxa" w:w="3160"/>
            <w:tcMar>
              <w:top w:w="80" w:type="dxa"/>
              <w:bottom w:w="80" w:type="dxa"/>
              <w:start w:w="120" w:type="dxa"/>
              <w:end w:w="120" w:type="dxa"/>
            </w:tcMar>
            <w:vAlign w:val="center"/>
          </w:tcPr>
          <w:p>
            <w:pPr>
              <w:spacing w:before="0" w:after="40" w:line="259" w:lineRule="auto"/>
            </w:pPr>
            <w:r/>
            <w:r>
              <w:rPr>
                <w:rFonts w:ascii="Calibri" w:hAnsi="Calibri"/>
                <w:b w:val="0"/>
                <w:color w:val="1F2937"/>
                <w:sz w:val="17"/>
              </w:rPr>
              <w:t>404 PARKING_LOT_NOT_FOUND; 409 AVAILABILITY_EXCEEDS_CAPACITY; 422 VALIDATION_ERROR</w:t>
            </w:r>
          </w:p>
        </w:tc>
      </w:tr>
    </w:tbl>
    <w:p>
      <w:pPr>
        <w:spacing w:before="0" w:after="0" w:line="140" w:lineRule="exact"/>
      </w:pPr>
      <w:r/>
    </w:p>
    <w:p>
      <w:pPr>
        <w:pStyle w:val="Heading2"/>
        <w:keepNext/>
      </w:pPr>
      <w:r>
        <w:rPr>
          <w:rFonts w:ascii="Calibri" w:hAnsi="Calibri"/>
          <w:b/>
          <w:color w:val="2E74B5"/>
          <w:sz w:val="26"/>
        </w:rPr>
        <w:t>2.2 Key Steps</w:t>
      </w:r>
    </w:p>
    <w:tbl>
      <w:tblPr>
        <w:tblStyle w:val="TableGrid"/>
        <w:tblW w:type="dxa" w:w="9360"/>
        <w:tblLook w:firstColumn="1" w:firstRow="1" w:lastColumn="0" w:lastRow="0" w:noHBand="0" w:noVBand="1" w:val="04A0"/>
        <w:tblInd w:w="120" w:type="dxa"/>
        <w:tblLayout w:type="fixed"/>
      </w:tblPr>
      <w:tblGrid>
        <w:gridCol w:w="700"/>
        <w:gridCol w:w="4200"/>
        <w:gridCol w:w="4460"/>
      </w:tblGrid>
      <w:tr>
        <w:trPr>
          <w:tblHeader w:val="true"/>
          <w:cantSplit/>
        </w:trPr>
        <w:tc>
          <w:tcPr>
            <w:tcW w:type="dxa" w:w="70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8"/>
              </w:rPr>
              <w:t>Step</w:t>
            </w:r>
          </w:p>
        </w:tc>
        <w:tc>
          <w:tcPr>
            <w:tcW w:type="dxa" w:w="420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8"/>
              </w:rPr>
              <w:t>Activity</w:t>
            </w:r>
          </w:p>
        </w:tc>
        <w:tc>
          <w:tcPr>
            <w:tcW w:type="dxa" w:w="446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8"/>
              </w:rPr>
              <w:t>Result</w:t>
            </w:r>
          </w:p>
        </w:tc>
      </w:tr>
      <w:tr>
        <w:trPr>
          <w:cantSplit/>
        </w:trPr>
        <w:tc>
          <w:tcPr>
            <w:tcW w:type="dxa" w:w="700"/>
            <w:tcMar>
              <w:top w:w="80" w:type="dxa"/>
              <w:bottom w:w="80" w:type="dxa"/>
              <w:start w:w="120" w:type="dxa"/>
              <w:end w:w="120" w:type="dxa"/>
            </w:tcMar>
            <w:vAlign w:val="center"/>
          </w:tcPr>
          <w:p>
            <w:pPr>
              <w:spacing w:before="0" w:after="40" w:line="259" w:lineRule="auto"/>
            </w:pPr>
            <w:r/>
            <w:r>
              <w:rPr>
                <w:rFonts w:ascii="Calibri" w:hAnsi="Calibri"/>
                <w:b w:val="0"/>
                <w:color w:val="1F2937"/>
                <w:sz w:val="18"/>
              </w:rPr>
              <w:t>1</w:t>
            </w:r>
          </w:p>
        </w:tc>
        <w:tc>
          <w:tcPr>
            <w:tcW w:type="dxa" w:w="4200"/>
            <w:tcMar>
              <w:top w:w="80" w:type="dxa"/>
              <w:bottom w:w="80" w:type="dxa"/>
              <w:start w:w="120" w:type="dxa"/>
              <w:end w:w="120" w:type="dxa"/>
            </w:tcMar>
            <w:vAlign w:val="center"/>
          </w:tcPr>
          <w:p>
            <w:pPr>
              <w:spacing w:before="0" w:after="40" w:line="259" w:lineRule="auto"/>
            </w:pPr>
            <w:r/>
            <w:r>
              <w:rPr>
                <w:rFonts w:ascii="Calibri" w:hAnsi="Calibri"/>
                <w:b w:val="0"/>
                <w:color w:val="1F2937"/>
                <w:sz w:val="18"/>
              </w:rPr>
              <w:t>Receive and route the HTTP request through the Gateway.</w:t>
            </w:r>
          </w:p>
        </w:tc>
        <w:tc>
          <w:tcPr>
            <w:tcW w:type="dxa" w:w="4460"/>
            <w:tcMar>
              <w:top w:w="80" w:type="dxa"/>
              <w:bottom w:w="80" w:type="dxa"/>
              <w:start w:w="120" w:type="dxa"/>
              <w:end w:w="120" w:type="dxa"/>
            </w:tcMar>
            <w:vAlign w:val="center"/>
          </w:tcPr>
          <w:p>
            <w:pPr>
              <w:spacing w:before="0" w:after="40" w:line="259" w:lineRule="auto"/>
            </w:pPr>
            <w:r/>
            <w:r>
              <w:rPr>
                <w:rFonts w:ascii="Calibri" w:hAnsi="Calibri"/>
                <w:b w:val="0"/>
                <w:color w:val="1F2937"/>
                <w:sz w:val="18"/>
              </w:rPr>
              <w:t>The operation and target lot are identified.</w:t>
            </w:r>
          </w:p>
        </w:tc>
      </w:tr>
      <w:tr>
        <w:trPr>
          <w:cantSplit/>
        </w:trPr>
        <w:tc>
          <w:tcPr>
            <w:tcW w:type="dxa" w:w="700"/>
            <w:tcMar>
              <w:top w:w="80" w:type="dxa"/>
              <w:bottom w:w="80" w:type="dxa"/>
              <w:start w:w="120" w:type="dxa"/>
              <w:end w:w="120" w:type="dxa"/>
            </w:tcMar>
            <w:vAlign w:val="center"/>
          </w:tcPr>
          <w:p>
            <w:pPr>
              <w:spacing w:before="0" w:after="40" w:line="259" w:lineRule="auto"/>
            </w:pPr>
            <w:r/>
            <w:r>
              <w:rPr>
                <w:rFonts w:ascii="Calibri" w:hAnsi="Calibri"/>
                <w:b w:val="0"/>
                <w:color w:val="1F2937"/>
                <w:sz w:val="18"/>
              </w:rPr>
              <w:t>2</w:t>
            </w:r>
          </w:p>
        </w:tc>
        <w:tc>
          <w:tcPr>
            <w:tcW w:type="dxa" w:w="4200"/>
            <w:tcMar>
              <w:top w:w="80" w:type="dxa"/>
              <w:bottom w:w="80" w:type="dxa"/>
              <w:start w:w="120" w:type="dxa"/>
              <w:end w:w="120" w:type="dxa"/>
            </w:tcMar>
            <w:vAlign w:val="center"/>
          </w:tcPr>
          <w:p>
            <w:pPr>
              <w:spacing w:before="0" w:after="40" w:line="259" w:lineRule="auto"/>
            </w:pPr>
            <w:r/>
            <w:r>
              <w:rPr>
                <w:rFonts w:ascii="Calibri" w:hAnsi="Calibri"/>
                <w:b w:val="0"/>
                <w:color w:val="1F2937"/>
                <w:sz w:val="18"/>
              </w:rPr>
              <w:t>Validate path/body data and the relevant business constraints.</w:t>
            </w:r>
          </w:p>
        </w:tc>
        <w:tc>
          <w:tcPr>
            <w:tcW w:type="dxa" w:w="4460"/>
            <w:tcMar>
              <w:top w:w="80" w:type="dxa"/>
              <w:bottom w:w="80" w:type="dxa"/>
              <w:start w:w="120" w:type="dxa"/>
              <w:end w:w="120" w:type="dxa"/>
            </w:tcMar>
            <w:vAlign w:val="center"/>
          </w:tcPr>
          <w:p>
            <w:pPr>
              <w:spacing w:before="0" w:after="40" w:line="259" w:lineRule="auto"/>
            </w:pPr>
            <w:r/>
            <w:r>
              <w:rPr>
                <w:rFonts w:ascii="Calibri" w:hAnsi="Calibri"/>
                <w:b w:val="0"/>
                <w:color w:val="1F2937"/>
                <w:sz w:val="18"/>
              </w:rPr>
              <w:t>Only contract-valid requests continue.</w:t>
            </w:r>
          </w:p>
        </w:tc>
      </w:tr>
      <w:tr>
        <w:trPr>
          <w:cantSplit/>
        </w:trPr>
        <w:tc>
          <w:tcPr>
            <w:tcW w:type="dxa" w:w="700"/>
            <w:tcMar>
              <w:top w:w="80" w:type="dxa"/>
              <w:bottom w:w="80" w:type="dxa"/>
              <w:start w:w="120" w:type="dxa"/>
              <w:end w:w="120" w:type="dxa"/>
            </w:tcMar>
            <w:vAlign w:val="center"/>
          </w:tcPr>
          <w:p>
            <w:pPr>
              <w:spacing w:before="0" w:after="40" w:line="259" w:lineRule="auto"/>
            </w:pPr>
            <w:r/>
            <w:r>
              <w:rPr>
                <w:rFonts w:ascii="Calibri" w:hAnsi="Calibri"/>
                <w:b w:val="0"/>
                <w:color w:val="1F2937"/>
                <w:sz w:val="18"/>
              </w:rPr>
              <w:t>3</w:t>
            </w:r>
          </w:p>
        </w:tc>
        <w:tc>
          <w:tcPr>
            <w:tcW w:type="dxa" w:w="4200"/>
            <w:tcMar>
              <w:top w:w="80" w:type="dxa"/>
              <w:bottom w:w="80" w:type="dxa"/>
              <w:start w:w="120" w:type="dxa"/>
              <w:end w:w="120" w:type="dxa"/>
            </w:tcMar>
            <w:vAlign w:val="center"/>
          </w:tcPr>
          <w:p>
            <w:pPr>
              <w:spacing w:before="0" w:after="40" w:line="259" w:lineRule="auto"/>
            </w:pPr>
            <w:r/>
            <w:r>
              <w:rPr>
                <w:rFonts w:ascii="Calibri" w:hAnsi="Calibri"/>
                <w:b w:val="0"/>
                <w:color w:val="1F2937"/>
                <w:sz w:val="18"/>
              </w:rPr>
              <w:t>Read the parking_lots store or persist the requested availability update.</w:t>
            </w:r>
          </w:p>
        </w:tc>
        <w:tc>
          <w:tcPr>
            <w:tcW w:type="dxa" w:w="4460"/>
            <w:tcMar>
              <w:top w:w="80" w:type="dxa"/>
              <w:bottom w:w="80" w:type="dxa"/>
              <w:start w:w="120" w:type="dxa"/>
              <w:end w:w="120" w:type="dxa"/>
            </w:tcMar>
            <w:vAlign w:val="center"/>
          </w:tcPr>
          <w:p>
            <w:pPr>
              <w:spacing w:before="0" w:after="40" w:line="259" w:lineRule="auto"/>
            </w:pPr>
            <w:r/>
            <w:r>
              <w:rPr>
                <w:rFonts w:ascii="Calibri" w:hAnsi="Calibri"/>
                <w:b w:val="0"/>
                <w:color w:val="1F2937"/>
                <w:sz w:val="18"/>
              </w:rPr>
              <w:t>A current or updated ParkingLot entity is obtained.</w:t>
            </w:r>
          </w:p>
        </w:tc>
      </w:tr>
      <w:tr>
        <w:trPr>
          <w:cantSplit/>
        </w:trPr>
        <w:tc>
          <w:tcPr>
            <w:tcW w:type="dxa" w:w="700"/>
            <w:tcMar>
              <w:top w:w="80" w:type="dxa"/>
              <w:bottom w:w="80" w:type="dxa"/>
              <w:start w:w="120" w:type="dxa"/>
              <w:end w:w="120" w:type="dxa"/>
            </w:tcMar>
            <w:vAlign w:val="center"/>
          </w:tcPr>
          <w:p>
            <w:pPr>
              <w:spacing w:before="0" w:after="40" w:line="259" w:lineRule="auto"/>
            </w:pPr>
            <w:r/>
            <w:r>
              <w:rPr>
                <w:rFonts w:ascii="Calibri" w:hAnsi="Calibri"/>
                <w:b w:val="0"/>
                <w:color w:val="1F2937"/>
                <w:sz w:val="18"/>
              </w:rPr>
              <w:t>4</w:t>
            </w:r>
          </w:p>
        </w:tc>
        <w:tc>
          <w:tcPr>
            <w:tcW w:type="dxa" w:w="4200"/>
            <w:tcMar>
              <w:top w:w="80" w:type="dxa"/>
              <w:bottom w:w="80" w:type="dxa"/>
              <w:start w:w="120" w:type="dxa"/>
              <w:end w:w="120" w:type="dxa"/>
            </w:tcMar>
            <w:vAlign w:val="center"/>
          </w:tcPr>
          <w:p>
            <w:pPr>
              <w:spacing w:before="0" w:after="40" w:line="259" w:lineRule="auto"/>
            </w:pPr>
            <w:r/>
            <w:r>
              <w:rPr>
                <w:rFonts w:ascii="Calibri" w:hAnsi="Calibri"/>
                <w:b w:val="0"/>
                <w:color w:val="1F2937"/>
                <w:sz w:val="18"/>
              </w:rPr>
              <w:t>Derive availability_status from available_spaces and total_spaces.</w:t>
            </w:r>
          </w:p>
        </w:tc>
        <w:tc>
          <w:tcPr>
            <w:tcW w:type="dxa" w:w="4460"/>
            <w:tcMar>
              <w:top w:w="80" w:type="dxa"/>
              <w:bottom w:w="80" w:type="dxa"/>
              <w:start w:w="120" w:type="dxa"/>
              <w:end w:w="120" w:type="dxa"/>
            </w:tcMar>
            <w:vAlign w:val="center"/>
          </w:tcPr>
          <w:p>
            <w:pPr>
              <w:spacing w:before="0" w:after="40" w:line="259" w:lineRule="auto"/>
            </w:pPr>
            <w:r/>
            <w:r>
              <w:rPr>
                <w:rFonts w:ascii="Consolas" w:hAnsi="Consolas"/>
                <w:b w:val="0"/>
                <w:color w:val="1F2937"/>
                <w:sz w:val="18"/>
              </w:rPr>
              <w:t>full if n = 0; limited if 0 &lt; n &lt;= max(5, floor(total/10)); otherwise available.</w:t>
            </w:r>
          </w:p>
        </w:tc>
      </w:tr>
      <w:tr>
        <w:trPr>
          <w:cantSplit/>
        </w:trPr>
        <w:tc>
          <w:tcPr>
            <w:tcW w:type="dxa" w:w="700"/>
            <w:tcMar>
              <w:top w:w="80" w:type="dxa"/>
              <w:bottom w:w="80" w:type="dxa"/>
              <w:start w:w="120" w:type="dxa"/>
              <w:end w:w="120" w:type="dxa"/>
            </w:tcMar>
            <w:vAlign w:val="center"/>
          </w:tcPr>
          <w:p>
            <w:pPr>
              <w:spacing w:before="0" w:after="40" w:line="259" w:lineRule="auto"/>
            </w:pPr>
            <w:r/>
            <w:r>
              <w:rPr>
                <w:rFonts w:ascii="Calibri" w:hAnsi="Calibri"/>
                <w:b w:val="0"/>
                <w:color w:val="1F2937"/>
                <w:sz w:val="18"/>
              </w:rPr>
              <w:t>5</w:t>
            </w:r>
          </w:p>
        </w:tc>
        <w:tc>
          <w:tcPr>
            <w:tcW w:type="dxa" w:w="4200"/>
            <w:tcMar>
              <w:top w:w="80" w:type="dxa"/>
              <w:bottom w:w="80" w:type="dxa"/>
              <w:start w:w="120" w:type="dxa"/>
              <w:end w:w="120" w:type="dxa"/>
            </w:tcMar>
            <w:vAlign w:val="center"/>
          </w:tcPr>
          <w:p>
            <w:pPr>
              <w:spacing w:before="0" w:after="40" w:line="259" w:lineRule="auto"/>
            </w:pPr>
            <w:r/>
            <w:r>
              <w:rPr>
                <w:rFonts w:ascii="Calibri" w:hAnsi="Calibri"/>
                <w:b w:val="0"/>
                <w:color w:val="1F2937"/>
                <w:sz w:val="18"/>
              </w:rPr>
              <w:t>Return a typed JSON resource or stable error response.</w:t>
            </w:r>
          </w:p>
        </w:tc>
        <w:tc>
          <w:tcPr>
            <w:tcW w:type="dxa" w:w="4460"/>
            <w:tcMar>
              <w:top w:w="80" w:type="dxa"/>
              <w:bottom w:w="80" w:type="dxa"/>
              <w:start w:w="120" w:type="dxa"/>
              <w:end w:w="120" w:type="dxa"/>
            </w:tcMar>
            <w:vAlign w:val="center"/>
          </w:tcPr>
          <w:p>
            <w:pPr>
              <w:spacing w:before="0" w:after="40" w:line="259" w:lineRule="auto"/>
            </w:pPr>
            <w:r/>
            <w:r>
              <w:rPr>
                <w:rFonts w:ascii="Calibri" w:hAnsi="Calibri"/>
                <w:b w:val="0"/>
                <w:color w:val="1F2937"/>
                <w:sz w:val="18"/>
              </w:rPr>
              <w:t>The consumer receives an explicit outcome.</w:t>
            </w:r>
          </w:p>
        </w:tc>
      </w:tr>
    </w:tbl>
    <w:p>
      <w:pPr>
        <w:spacing w:before="0" w:after="0" w:line="140" w:lineRule="exact"/>
      </w:pPr>
      <w:r/>
    </w:p>
    <w:p>
      <w:r>
        <w:br w:type="page"/>
      </w:r>
    </w:p>
    <w:p>
      <w:pPr>
        <w:pStyle w:val="Heading2"/>
        <w:keepNext/>
      </w:pPr>
      <w:r>
        <w:rPr>
          <w:rFonts w:ascii="Calibri" w:hAnsi="Calibri"/>
          <w:b/>
          <w:color w:val="2E74B5"/>
          <w:sz w:val="26"/>
        </w:rPr>
        <w:t>2.3 QoS, Delivery and Contractual Factors</w:t>
      </w:r>
    </w:p>
    <w:tbl>
      <w:tblPr>
        <w:tblStyle w:val="TableGrid"/>
        <w:tblW w:type="dxa" w:w="9360"/>
        <w:tblLook w:firstColumn="1" w:firstRow="1" w:lastColumn="0" w:lastRow="0" w:noHBand="0" w:noVBand="1" w:val="04A0"/>
        <w:tblInd w:w="120" w:type="dxa"/>
        <w:tblLayout w:type="fixed"/>
      </w:tblPr>
      <w:tblGrid>
        <w:gridCol w:w="2250"/>
        <w:gridCol w:w="7110"/>
      </w:tblGrid>
      <w:tr>
        <w:trPr>
          <w:tblHeader w:val="true"/>
          <w:cantSplit/>
        </w:trPr>
        <w:tc>
          <w:tcPr>
            <w:tcW w:type="dxa" w:w="225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8"/>
              </w:rPr>
              <w:t>Factor</w:t>
            </w:r>
          </w:p>
        </w:tc>
        <w:tc>
          <w:tcPr>
            <w:tcW w:type="dxa" w:w="711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8"/>
              </w:rPr>
              <w:t>Constraint</w:t>
            </w:r>
          </w:p>
        </w:tc>
      </w:tr>
      <w:tr>
        <w:trPr>
          <w:cantSplit/>
        </w:trPr>
        <w:tc>
          <w:tcPr>
            <w:tcW w:type="dxa" w:w="2250"/>
            <w:tcMar>
              <w:top w:w="80" w:type="dxa"/>
              <w:bottom w:w="80" w:type="dxa"/>
              <w:start w:w="120" w:type="dxa"/>
              <w:end w:w="120" w:type="dxa"/>
            </w:tcMar>
            <w:vAlign w:val="center"/>
          </w:tcPr>
          <w:p>
            <w:pPr>
              <w:spacing w:before="0" w:after="40" w:line="259" w:lineRule="auto"/>
            </w:pPr>
            <w:r/>
            <w:r>
              <w:rPr>
                <w:rFonts w:ascii="Calibri" w:hAnsi="Calibri"/>
                <w:b w:val="0"/>
                <w:color w:val="1F2937"/>
                <w:sz w:val="18"/>
              </w:rPr>
              <w:t>Data integrity</w:t>
            </w:r>
          </w:p>
        </w:tc>
        <w:tc>
          <w:tcPr>
            <w:tcW w:type="dxa" w:w="7110"/>
            <w:tcMar>
              <w:top w:w="80" w:type="dxa"/>
              <w:bottom w:w="80" w:type="dxa"/>
              <w:start w:w="120" w:type="dxa"/>
              <w:end w:w="120" w:type="dxa"/>
            </w:tcMar>
            <w:vAlign w:val="center"/>
          </w:tcPr>
          <w:p>
            <w:pPr>
              <w:spacing w:before="0" w:after="40" w:line="259" w:lineRule="auto"/>
            </w:pPr>
            <w:r/>
            <w:r>
              <w:rPr>
                <w:rFonts w:ascii="Calibri" w:hAnsi="Calibri"/>
                <w:b w:val="0"/>
                <w:color w:val="1F2937"/>
                <w:sz w:val="18"/>
              </w:rPr>
              <w:t>0 &lt;= available_spaces &lt;= total_spaces. A rejected update performs no mutation.</w:t>
            </w:r>
          </w:p>
        </w:tc>
      </w:tr>
      <w:tr>
        <w:trPr>
          <w:cantSplit/>
        </w:trPr>
        <w:tc>
          <w:tcPr>
            <w:tcW w:type="dxa" w:w="2250"/>
            <w:tcMar>
              <w:top w:w="80" w:type="dxa"/>
              <w:bottom w:w="80" w:type="dxa"/>
              <w:start w:w="120" w:type="dxa"/>
              <w:end w:w="120" w:type="dxa"/>
            </w:tcMar>
            <w:vAlign w:val="center"/>
          </w:tcPr>
          <w:p>
            <w:pPr>
              <w:spacing w:before="0" w:after="40" w:line="259" w:lineRule="auto"/>
            </w:pPr>
            <w:r/>
            <w:r>
              <w:rPr>
                <w:rFonts w:ascii="Calibri" w:hAnsi="Calibri"/>
                <w:b w:val="0"/>
                <w:color w:val="1F2937"/>
                <w:sz w:val="18"/>
              </w:rPr>
              <w:t>Freshness</w:t>
            </w:r>
          </w:p>
        </w:tc>
        <w:tc>
          <w:tcPr>
            <w:tcW w:type="dxa" w:w="7110"/>
            <w:tcMar>
              <w:top w:w="80" w:type="dxa"/>
              <w:bottom w:w="80" w:type="dxa"/>
              <w:start w:w="120" w:type="dxa"/>
              <w:end w:w="120" w:type="dxa"/>
            </w:tcMar>
            <w:vAlign w:val="center"/>
          </w:tcPr>
          <w:p>
            <w:pPr>
              <w:spacing w:before="0" w:after="40" w:line="259" w:lineRule="auto"/>
            </w:pPr>
            <w:r/>
            <w:r>
              <w:rPr>
                <w:rFonts w:ascii="Calibri" w:hAnsi="Calibri"/>
                <w:b w:val="0"/>
                <w:color w:val="1F2937"/>
                <w:sz w:val="18"/>
              </w:rPr>
              <w:t>Every successful update replaces updated_at with the current UTC service time.</w:t>
            </w:r>
          </w:p>
        </w:tc>
      </w:tr>
      <w:tr>
        <w:trPr>
          <w:cantSplit/>
        </w:trPr>
        <w:tc>
          <w:tcPr>
            <w:tcW w:type="dxa" w:w="2250"/>
            <w:tcMar>
              <w:top w:w="80" w:type="dxa"/>
              <w:bottom w:w="80" w:type="dxa"/>
              <w:start w:w="120" w:type="dxa"/>
              <w:end w:w="120" w:type="dxa"/>
            </w:tcMar>
            <w:vAlign w:val="center"/>
          </w:tcPr>
          <w:p>
            <w:pPr>
              <w:spacing w:before="0" w:after="40" w:line="259" w:lineRule="auto"/>
            </w:pPr>
            <w:r/>
            <w:r>
              <w:rPr>
                <w:rFonts w:ascii="Calibri" w:hAnsi="Calibri"/>
                <w:b w:val="0"/>
                <w:color w:val="1F2937"/>
                <w:sz w:val="18"/>
              </w:rPr>
              <w:t>Determinism</w:t>
            </w:r>
          </w:p>
        </w:tc>
        <w:tc>
          <w:tcPr>
            <w:tcW w:type="dxa" w:w="7110"/>
            <w:tcMar>
              <w:top w:w="80" w:type="dxa"/>
              <w:bottom w:w="80" w:type="dxa"/>
              <w:start w:w="120" w:type="dxa"/>
              <w:end w:w="120" w:type="dxa"/>
            </w:tcMar>
            <w:vAlign w:val="center"/>
          </w:tcPr>
          <w:p>
            <w:pPr>
              <w:spacing w:before="0" w:after="40" w:line="259" w:lineRule="auto"/>
            </w:pPr>
            <w:r/>
            <w:r>
              <w:rPr>
                <w:rFonts w:ascii="Calibri" w:hAnsi="Calibri"/>
                <w:b w:val="0"/>
                <w:color w:val="1F2937"/>
                <w:sz w:val="18"/>
              </w:rPr>
              <w:t>The same valid PATCH value produces the same availability value and derived status; GET operations are read-only.</w:t>
            </w:r>
          </w:p>
        </w:tc>
      </w:tr>
      <w:tr>
        <w:trPr>
          <w:cantSplit/>
        </w:trPr>
        <w:tc>
          <w:tcPr>
            <w:tcW w:type="dxa" w:w="2250"/>
            <w:tcMar>
              <w:top w:w="80" w:type="dxa"/>
              <w:bottom w:w="80" w:type="dxa"/>
              <w:start w:w="120" w:type="dxa"/>
              <w:end w:w="120" w:type="dxa"/>
            </w:tcMar>
            <w:vAlign w:val="center"/>
          </w:tcPr>
          <w:p>
            <w:pPr>
              <w:spacing w:before="0" w:after="40" w:line="259" w:lineRule="auto"/>
            </w:pPr>
            <w:r/>
            <w:r>
              <w:rPr>
                <w:rFonts w:ascii="Calibri" w:hAnsi="Calibri"/>
                <w:b w:val="0"/>
                <w:color w:val="1F2937"/>
                <w:sz w:val="18"/>
              </w:rPr>
              <w:t>Availability semantics</w:t>
            </w:r>
          </w:p>
        </w:tc>
        <w:tc>
          <w:tcPr>
            <w:tcW w:type="dxa" w:w="7110"/>
            <w:tcMar>
              <w:top w:w="80" w:type="dxa"/>
              <w:bottom w:w="80" w:type="dxa"/>
              <w:start w:w="120" w:type="dxa"/>
              <w:end w:w="120" w:type="dxa"/>
            </w:tcMar>
            <w:vAlign w:val="center"/>
          </w:tcPr>
          <w:p>
            <w:pPr>
              <w:spacing w:before="0" w:after="40" w:line="259" w:lineRule="auto"/>
            </w:pPr>
            <w:r/>
            <w:r>
              <w:rPr>
                <w:rFonts w:ascii="Calibri" w:hAnsi="Calibri"/>
                <w:b w:val="0"/>
                <w:color w:val="1F2937"/>
                <w:sz w:val="18"/>
              </w:rPr>
              <w:t>The service publishes /health and is independently deployable on default port 8301.</w:t>
            </w:r>
          </w:p>
        </w:tc>
      </w:tr>
      <w:tr>
        <w:trPr>
          <w:cantSplit/>
        </w:trPr>
        <w:tc>
          <w:tcPr>
            <w:tcW w:type="dxa" w:w="2250"/>
            <w:tcMar>
              <w:top w:w="80" w:type="dxa"/>
              <w:bottom w:w="80" w:type="dxa"/>
              <w:start w:w="120" w:type="dxa"/>
              <w:end w:w="120" w:type="dxa"/>
            </w:tcMar>
            <w:vAlign w:val="center"/>
          </w:tcPr>
          <w:p>
            <w:pPr>
              <w:spacing w:before="0" w:after="40" w:line="259" w:lineRule="auto"/>
            </w:pPr>
            <w:r/>
            <w:r>
              <w:rPr>
                <w:rFonts w:ascii="Calibri" w:hAnsi="Calibri"/>
                <w:b w:val="0"/>
                <w:color w:val="1F2937"/>
                <w:sz w:val="18"/>
              </w:rPr>
              <w:t>Delivery schedule</w:t>
            </w:r>
          </w:p>
        </w:tc>
        <w:tc>
          <w:tcPr>
            <w:tcW w:type="dxa" w:w="7110"/>
            <w:tcMar>
              <w:top w:w="80" w:type="dxa"/>
              <w:bottom w:w="80" w:type="dxa"/>
              <w:start w:w="120" w:type="dxa"/>
              <w:end w:w="120" w:type="dxa"/>
            </w:tcMar>
            <w:vAlign w:val="center"/>
          </w:tcPr>
          <w:p>
            <w:pPr>
              <w:spacing w:before="0" w:after="40" w:line="259" w:lineRule="auto"/>
            </w:pPr>
            <w:r/>
            <w:r>
              <w:rPr>
                <w:rFonts w:ascii="Calibri" w:hAnsi="Calibri"/>
                <w:b w:val="0"/>
                <w:color w:val="1F2937"/>
                <w:sz w:val="18"/>
              </w:rPr>
              <w:t>Synchronous request/response; one terminal response per accepted HTTP request.</w:t>
            </w:r>
          </w:p>
        </w:tc>
      </w:tr>
      <w:tr>
        <w:trPr>
          <w:cantSplit/>
        </w:trPr>
        <w:tc>
          <w:tcPr>
            <w:tcW w:type="dxa" w:w="2250"/>
            <w:tcMar>
              <w:top w:w="80" w:type="dxa"/>
              <w:bottom w:w="80" w:type="dxa"/>
              <w:start w:w="120" w:type="dxa"/>
              <w:end w:w="120" w:type="dxa"/>
            </w:tcMar>
            <w:vAlign w:val="center"/>
          </w:tcPr>
          <w:p>
            <w:pPr>
              <w:spacing w:before="0" w:after="40" w:line="259" w:lineRule="auto"/>
            </w:pPr>
            <w:r/>
            <w:r>
              <w:rPr>
                <w:rFonts w:ascii="Calibri" w:hAnsi="Calibri"/>
                <w:b w:val="0"/>
                <w:color w:val="1F2937"/>
                <w:sz w:val="18"/>
              </w:rPr>
              <w:t>Contract</w:t>
            </w:r>
          </w:p>
        </w:tc>
        <w:tc>
          <w:tcPr>
            <w:tcW w:type="dxa" w:w="7110"/>
            <w:tcMar>
              <w:top w:w="80" w:type="dxa"/>
              <w:bottom w:w="80" w:type="dxa"/>
              <w:start w:w="120" w:type="dxa"/>
              <w:end w:w="120" w:type="dxa"/>
            </w:tcMar>
            <w:vAlign w:val="center"/>
          </w:tcPr>
          <w:p>
            <w:pPr>
              <w:spacing w:before="0" w:after="40" w:line="259" w:lineRule="auto"/>
            </w:pPr>
            <w:r/>
            <w:r>
              <w:rPr>
                <w:rFonts w:ascii="Calibri" w:hAnsi="Calibri"/>
                <w:b w:val="0"/>
                <w:color w:val="1F2937"/>
                <w:sz w:val="18"/>
              </w:rPr>
              <w:t>REST/JSON under /api/v1; snake_case fields; explicit 200/404/409/422 outcomes; no cross-service database access.</w:t>
            </w:r>
          </w:p>
        </w:tc>
      </w:tr>
      <w:tr>
        <w:trPr>
          <w:cantSplit/>
        </w:trPr>
        <w:tc>
          <w:tcPr>
            <w:tcW w:type="dxa" w:w="2250"/>
            <w:tcMar>
              <w:top w:w="80" w:type="dxa"/>
              <w:bottom w:w="80" w:type="dxa"/>
              <w:start w:w="120" w:type="dxa"/>
              <w:end w:w="120" w:type="dxa"/>
            </w:tcMar>
            <w:vAlign w:val="center"/>
          </w:tcPr>
          <w:p>
            <w:pPr>
              <w:spacing w:before="0" w:after="40" w:line="259" w:lineRule="auto"/>
            </w:pPr>
            <w:r/>
            <w:r>
              <w:rPr>
                <w:rFonts w:ascii="Calibri" w:hAnsi="Calibri"/>
                <w:b w:val="0"/>
                <w:color w:val="1F2937"/>
                <w:sz w:val="18"/>
              </w:rPr>
              <w:t>Penalty</w:t>
            </w:r>
          </w:p>
        </w:tc>
        <w:tc>
          <w:tcPr>
            <w:tcW w:type="dxa" w:w="7110"/>
            <w:tcMar>
              <w:top w:w="80" w:type="dxa"/>
              <w:bottom w:w="80" w:type="dxa"/>
              <w:start w:w="120" w:type="dxa"/>
              <w:end w:w="120" w:type="dxa"/>
            </w:tcMar>
            <w:vAlign w:val="center"/>
          </w:tcPr>
          <w:p>
            <w:pPr>
              <w:spacing w:before="0" w:after="40" w:line="259" w:lineRule="auto"/>
            </w:pPr>
            <w:r/>
            <w:r>
              <w:rPr>
                <w:rFonts w:ascii="Calibri" w:hAnsi="Calibri"/>
                <w:b w:val="0"/>
                <w:color w:val="1F2937"/>
                <w:sz w:val="18"/>
              </w:rPr>
              <w:t>Not applicable in the course prototype; contract violations are represented by HTTP errors rather than financial penalties.</w:t>
            </w:r>
          </w:p>
        </w:tc>
      </w:tr>
    </w:tbl>
    <w:p>
      <w:pPr>
        <w:spacing w:before="0" w:after="0" w:line="140" w:lineRule="exact"/>
      </w:pPr>
      <w:r/>
    </w:p>
    <w:p>
      <w:pPr>
        <w:pStyle w:val="Heading2"/>
        <w:keepNext/>
      </w:pPr>
      <w:r>
        <w:rPr>
          <w:rFonts w:ascii="Calibri" w:hAnsi="Calibri"/>
          <w:b/>
          <w:color w:val="2E74B5"/>
          <w:sz w:val="26"/>
        </w:rPr>
        <w:t>2.4 Operation and Data Invariants</w:t>
      </w:r>
    </w:p>
    <w:tbl>
      <w:tblPr>
        <w:tblStyle w:val="TableGrid"/>
        <w:tblW w:type="dxa" w:w="9360"/>
        <w:tblLook w:firstColumn="1" w:firstRow="1" w:lastColumn="0" w:lastRow="0" w:noHBand="0" w:noVBand="1" w:val="04A0"/>
        <w:tblInd w:w="120" w:type="dxa"/>
        <w:tblLayout w:type="fixed"/>
      </w:tblPr>
      <w:tblGrid>
        <w:gridCol w:w="2200"/>
        <w:gridCol w:w="7160"/>
      </w:tblGrid>
      <w:tr>
        <w:trPr>
          <w:tblHeader w:val="true"/>
          <w:cantSplit/>
        </w:trPr>
        <w:tc>
          <w:tcPr>
            <w:tcW w:type="dxa" w:w="220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8"/>
              </w:rPr>
              <w:t>Invariant</w:t>
            </w:r>
          </w:p>
        </w:tc>
        <w:tc>
          <w:tcPr>
            <w:tcW w:type="dxa" w:w="716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8"/>
              </w:rPr>
              <w:t>Model/implementation consequence</w:t>
            </w:r>
          </w:p>
        </w:tc>
      </w:tr>
      <w:tr>
        <w:trPr>
          <w:cantSplit/>
        </w:trPr>
        <w:tc>
          <w:tcPr>
            <w:tcW w:type="dxa" w:w="2200"/>
            <w:tcMar>
              <w:top w:w="80" w:type="dxa"/>
              <w:bottom w:w="80" w:type="dxa"/>
              <w:start w:w="120" w:type="dxa"/>
              <w:end w:w="120" w:type="dxa"/>
            </w:tcMar>
            <w:vAlign w:val="center"/>
          </w:tcPr>
          <w:p>
            <w:pPr>
              <w:spacing w:before="0" w:after="40" w:line="259" w:lineRule="auto"/>
            </w:pPr>
            <w:r/>
            <w:r>
              <w:rPr>
                <w:rFonts w:ascii="Calibri" w:hAnsi="Calibri"/>
                <w:b w:val="0"/>
                <w:color w:val="1F2937"/>
                <w:sz w:val="18"/>
              </w:rPr>
              <w:t>Capacity bound</w:t>
            </w:r>
          </w:p>
        </w:tc>
        <w:tc>
          <w:tcPr>
            <w:tcW w:type="dxa" w:w="7160"/>
            <w:tcMar>
              <w:top w:w="80" w:type="dxa"/>
              <w:bottom w:w="80" w:type="dxa"/>
              <w:start w:w="120" w:type="dxa"/>
              <w:end w:w="120" w:type="dxa"/>
            </w:tcMar>
            <w:vAlign w:val="center"/>
          </w:tcPr>
          <w:p>
            <w:pPr>
              <w:spacing w:before="0" w:after="40" w:line="259" w:lineRule="auto"/>
            </w:pPr>
            <w:r/>
            <w:r>
              <w:rPr>
                <w:rFonts w:ascii="Calibri" w:hAnsi="Calibri"/>
                <w:b w:val="0"/>
                <w:color w:val="1F2937"/>
                <w:sz w:val="18"/>
              </w:rPr>
              <w:t>No successful state can satisfy available_spaces &lt; 0 or available_spaces &gt; total_spaces.</w:t>
            </w:r>
          </w:p>
        </w:tc>
      </w:tr>
      <w:tr>
        <w:trPr>
          <w:cantSplit/>
        </w:trPr>
        <w:tc>
          <w:tcPr>
            <w:tcW w:type="dxa" w:w="2200"/>
            <w:tcMar>
              <w:top w:w="80" w:type="dxa"/>
              <w:bottom w:w="80" w:type="dxa"/>
              <w:start w:w="120" w:type="dxa"/>
              <w:end w:w="120" w:type="dxa"/>
            </w:tcMar>
            <w:vAlign w:val="center"/>
          </w:tcPr>
          <w:p>
            <w:pPr>
              <w:spacing w:before="0" w:after="40" w:line="259" w:lineRule="auto"/>
            </w:pPr>
            <w:r/>
            <w:r>
              <w:rPr>
                <w:rFonts w:ascii="Calibri" w:hAnsi="Calibri"/>
                <w:b w:val="0"/>
                <w:color w:val="1F2937"/>
                <w:sz w:val="18"/>
              </w:rPr>
              <w:t>Derived status</w:t>
            </w:r>
          </w:p>
        </w:tc>
        <w:tc>
          <w:tcPr>
            <w:tcW w:type="dxa" w:w="7160"/>
            <w:tcMar>
              <w:top w:w="80" w:type="dxa"/>
              <w:bottom w:w="80" w:type="dxa"/>
              <w:start w:w="120" w:type="dxa"/>
              <w:end w:w="120" w:type="dxa"/>
            </w:tcMar>
            <w:vAlign w:val="center"/>
          </w:tcPr>
          <w:p>
            <w:pPr>
              <w:spacing w:before="0" w:after="40" w:line="259" w:lineRule="auto"/>
            </w:pPr>
            <w:r/>
            <w:r>
              <w:rPr>
                <w:rFonts w:ascii="Calibri" w:hAnsi="Calibri"/>
                <w:b w:val="0"/>
                <w:color w:val="1F2937"/>
                <w:sz w:val="18"/>
              </w:rPr>
              <w:t>availability_status is computed from the persisted space count and is not stored independently.</w:t>
            </w:r>
          </w:p>
        </w:tc>
      </w:tr>
      <w:tr>
        <w:trPr>
          <w:cantSplit/>
        </w:trPr>
        <w:tc>
          <w:tcPr>
            <w:tcW w:type="dxa" w:w="2200"/>
            <w:tcMar>
              <w:top w:w="80" w:type="dxa"/>
              <w:bottom w:w="80" w:type="dxa"/>
              <w:start w:w="120" w:type="dxa"/>
              <w:end w:w="120" w:type="dxa"/>
            </w:tcMar>
            <w:vAlign w:val="center"/>
          </w:tcPr>
          <w:p>
            <w:pPr>
              <w:spacing w:before="0" w:after="40" w:line="259" w:lineRule="auto"/>
            </w:pPr>
            <w:r/>
            <w:r>
              <w:rPr>
                <w:rFonts w:ascii="Calibri" w:hAnsi="Calibri"/>
                <w:b w:val="0"/>
                <w:color w:val="1F2937"/>
                <w:sz w:val="18"/>
              </w:rPr>
              <w:t>Isolation</w:t>
            </w:r>
          </w:p>
        </w:tc>
        <w:tc>
          <w:tcPr>
            <w:tcW w:type="dxa" w:w="7160"/>
            <w:tcMar>
              <w:top w:w="80" w:type="dxa"/>
              <w:bottom w:w="80" w:type="dxa"/>
              <w:start w:w="120" w:type="dxa"/>
              <w:end w:w="120" w:type="dxa"/>
            </w:tcMar>
            <w:vAlign w:val="center"/>
          </w:tcPr>
          <w:p>
            <w:pPr>
              <w:spacing w:before="0" w:after="40" w:line="259" w:lineRule="auto"/>
            </w:pPr>
            <w:r/>
            <w:r>
              <w:rPr>
                <w:rFonts w:ascii="Calibri" w:hAnsi="Calibri"/>
                <w:b w:val="0"/>
                <w:color w:val="1F2937"/>
                <w:sz w:val="18"/>
              </w:rPr>
              <w:t>Parking Availability owns parking_lots and does not read the Parking Billing database.</w:t>
            </w:r>
          </w:p>
        </w:tc>
      </w:tr>
      <w:tr>
        <w:trPr>
          <w:cantSplit/>
        </w:trPr>
        <w:tc>
          <w:tcPr>
            <w:tcW w:type="dxa" w:w="2200"/>
            <w:tcMar>
              <w:top w:w="80" w:type="dxa"/>
              <w:bottom w:w="80" w:type="dxa"/>
              <w:start w:w="120" w:type="dxa"/>
              <w:end w:w="120" w:type="dxa"/>
            </w:tcMar>
            <w:vAlign w:val="center"/>
          </w:tcPr>
          <w:p>
            <w:pPr>
              <w:spacing w:before="0" w:after="40" w:line="259" w:lineRule="auto"/>
            </w:pPr>
            <w:r/>
            <w:r>
              <w:rPr>
                <w:rFonts w:ascii="Calibri" w:hAnsi="Calibri"/>
                <w:b w:val="0"/>
                <w:color w:val="1F2937"/>
                <w:sz w:val="18"/>
              </w:rPr>
              <w:t>Update semantics</w:t>
            </w:r>
          </w:p>
        </w:tc>
        <w:tc>
          <w:tcPr>
            <w:tcW w:type="dxa" w:w="7160"/>
            <w:tcMar>
              <w:top w:w="80" w:type="dxa"/>
              <w:bottom w:w="80" w:type="dxa"/>
              <w:start w:w="120" w:type="dxa"/>
              <w:end w:w="120" w:type="dxa"/>
            </w:tcMar>
            <w:vAlign w:val="center"/>
          </w:tcPr>
          <w:p>
            <w:pPr>
              <w:spacing w:before="0" w:after="40" w:line="259" w:lineRule="auto"/>
            </w:pPr>
            <w:r/>
            <w:r>
              <w:rPr>
                <w:rFonts w:ascii="Calibri" w:hAnsi="Calibri"/>
                <w:b w:val="0"/>
                <w:color w:val="1F2937"/>
                <w:sz w:val="18"/>
              </w:rPr>
              <w:t>PATCH sets an explicit count rather than incrementing/decrementing it, making the classroom demonstration repeatable.</w:t>
            </w:r>
          </w:p>
        </w:tc>
      </w:tr>
    </w:tbl>
    <w:p>
      <w:pPr>
        <w:spacing w:before="0" w:after="0" w:line="140" w:lineRule="exact"/>
      </w:pPr>
      <w:r/>
    </w:p>
    <w:p>
      <w:pPr>
        <w:sectPr>
          <w:headerReference w:type="default" r:id="rId9"/>
          <w:footerReference w:type="default" r:id="rId10"/>
          <w:pgSz w:w="12240" w:h="15840"/>
          <w:pgMar w:top="1440" w:right="1440" w:bottom="1440" w:left="1440" w:header="708" w:footer="708" w:gutter="0"/>
          <w:cols w:space="720"/>
          <w:docGrid w:linePitch="360"/>
        </w:sectPr>
      </w:pPr>
    </w:p>
    <w:p>
      <w:pPr>
        <w:spacing w:after="160"/>
      </w:pPr>
      <w:r>
        <w:rPr>
          <w:rFonts w:ascii="Calibri" w:hAnsi="Calibri"/>
          <w:b/>
          <w:color w:val="2E74B5"/>
          <w:sz w:val="32"/>
        </w:rPr>
        <w:t>3. BPMN - Public Parking Availability</w:t>
      </w:r>
    </w:p>
    <w:p>
      <w:pPr>
        <w:spacing w:after="100"/>
        <w:jc w:val="center"/>
      </w:pPr>
      <w:r>
        <w:drawing>
          <wp:inline xmlns:a="http://schemas.openxmlformats.org/drawingml/2006/main" xmlns:pic="http://schemas.openxmlformats.org/drawingml/2006/picture">
            <wp:extent cx="8869680" cy="5478332"/>
            <wp:docPr id="1" name="Picture 1"/>
            <wp:cNvGraphicFramePr>
              <a:graphicFrameLocks noChangeAspect="1"/>
            </wp:cNvGraphicFramePr>
            <a:graphic>
              <a:graphicData uri="http://schemas.openxmlformats.org/drawingml/2006/picture">
                <pic:pic>
                  <pic:nvPicPr>
                    <pic:cNvPr id="0" name="BPMN_Parking_Availability.png"/>
                    <pic:cNvPicPr/>
                  </pic:nvPicPr>
                  <pic:blipFill>
                    <a:blip r:embed="rId13"/>
                    <a:stretch>
                      <a:fillRect/>
                    </a:stretch>
                  </pic:blipFill>
                  <pic:spPr>
                    <a:xfrm>
                      <a:off x="0" y="0"/>
                      <a:ext cx="8869680" cy="5478332"/>
                    </a:xfrm>
                    <a:prstGeom prst="rect"/>
                  </pic:spPr>
                </pic:pic>
              </a:graphicData>
            </a:graphic>
          </wp:inline>
        </w:drawing>
      </w:r>
    </w:p>
    <w:p>
      <w:pPr>
        <w:spacing w:before="40" w:after="0"/>
        <w:jc w:val="center"/>
      </w:pPr>
      <w:r>
        <w:rPr>
          <w:rFonts w:ascii="Calibri" w:hAnsi="Calibri"/>
          <w:i/>
          <w:color w:val="667085"/>
          <w:sz w:val="18"/>
        </w:rPr>
        <w:t>Figure 1. Collaboration model for querying and updating parking availability. A1-A8 link the BPMN tasks to Section 4.2.</w:t>
      </w:r>
    </w:p>
    <w:p>
      <w:pPr>
        <w:sectPr>
          <w:headerReference w:type="default" r:id="rId11"/>
          <w:footerReference w:type="default" r:id="rId12"/>
          <w:pgSz w:w="15840" w:h="12240" w:orient="landscape"/>
          <w:pgMar w:top="792" w:right="792" w:bottom="792" w:left="792" w:header="708" w:footer="708" w:gutter="0"/>
          <w:cols w:space="720"/>
          <w:docGrid w:linePitch="360"/>
        </w:sectPr>
      </w:pPr>
    </w:p>
    <w:p>
      <w:pPr>
        <w:pStyle w:val="Heading1"/>
        <w:keepNext/>
      </w:pPr>
      <w:r>
        <w:rPr>
          <w:rFonts w:ascii="Calibri" w:hAnsi="Calibri"/>
          <w:b/>
          <w:color w:val="2E74B5"/>
          <w:sz w:val="32"/>
        </w:rPr>
        <w:t>4. Semantic Effect Annotations - Availability</w:t>
      </w:r>
    </w:p>
    <w:p>
      <w:pPr>
        <w:pStyle w:val="Heading2"/>
        <w:keepNext/>
      </w:pPr>
      <w:r>
        <w:rPr>
          <w:rFonts w:ascii="Calibri" w:hAnsi="Calibri"/>
          <w:b/>
          <w:color w:val="2E74B5"/>
          <w:sz w:val="26"/>
        </w:rPr>
        <w:t>4.1 Business Objects and Background Knowledge</w:t>
      </w:r>
    </w:p>
    <w:tbl>
      <w:tblPr>
        <w:tblStyle w:val="TableGrid"/>
        <w:tblW w:type="dxa" w:w="9360"/>
        <w:tblLook w:firstColumn="1" w:firstRow="1" w:lastColumn="0" w:lastRow="0" w:noHBand="0" w:noVBand="1" w:val="04A0"/>
        <w:tblInd w:w="120" w:type="dxa"/>
        <w:tblLayout w:type="fixed"/>
      </w:tblPr>
      <w:tblGrid>
        <w:gridCol w:w="1900"/>
        <w:gridCol w:w="900"/>
        <w:gridCol w:w="6560"/>
      </w:tblGrid>
      <w:tr>
        <w:trPr>
          <w:tblHeader w:val="true"/>
          <w:cantSplit/>
        </w:trPr>
        <w:tc>
          <w:tcPr>
            <w:tcW w:type="dxa" w:w="190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7"/>
              </w:rPr>
              <w:t>Object</w:t>
            </w:r>
          </w:p>
        </w:tc>
        <w:tc>
          <w:tcPr>
            <w:tcW w:type="dxa" w:w="90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7"/>
              </w:rPr>
              <w:t>Variable</w:t>
            </w:r>
          </w:p>
        </w:tc>
        <w:tc>
          <w:tcPr>
            <w:tcW w:type="dxa" w:w="656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7"/>
              </w:rPr>
              <w:t>Relevant states and relationships</w:t>
            </w:r>
          </w:p>
        </w:tc>
      </w:tr>
      <w:tr>
        <w:trPr>
          <w:cantSplit/>
        </w:trPr>
        <w:tc>
          <w:tcPr>
            <w:tcW w:type="dxa" w:w="19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ParkingLot</w:t>
            </w:r>
          </w:p>
        </w:tc>
        <w:tc>
          <w:tcPr>
            <w:tcW w:type="dxa" w:w="9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l</w:t>
            </w:r>
          </w:p>
        </w:tc>
        <w:tc>
          <w:tcPr>
            <w:tcW w:type="dxa" w:w="6560"/>
            <w:tcMar>
              <w:top w:w="80" w:type="dxa"/>
              <w:bottom w:w="80" w:type="dxa"/>
              <w:start w:w="120" w:type="dxa"/>
              <w:end w:w="120" w:type="dxa"/>
            </w:tcMar>
            <w:vAlign w:val="center"/>
          </w:tcPr>
          <w:p>
            <w:pPr>
              <w:spacing w:before="0" w:after="40" w:line="259" w:lineRule="auto"/>
            </w:pPr>
            <w:r/>
            <w:r>
              <w:rPr>
                <w:rFonts w:ascii="Consolas" w:hAnsi="Consolas"/>
                <w:b w:val="0"/>
                <w:color w:val="1F2937"/>
                <w:sz w:val="17"/>
              </w:rPr>
              <w:t>known(l), totalSpaces(l,m), availableSpaces(l,n), availabilityStatus(l,status), updatedAt(l,t)</w:t>
            </w:r>
          </w:p>
        </w:tc>
      </w:tr>
      <w:tr>
        <w:trPr>
          <w:cantSplit/>
        </w:trPr>
        <w:tc>
          <w:tcPr>
            <w:tcW w:type="dxa" w:w="19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AvailabilityRequest</w:t>
            </w:r>
          </w:p>
        </w:tc>
        <w:tc>
          <w:tcPr>
            <w:tcW w:type="dxa" w:w="9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r</w:t>
            </w:r>
          </w:p>
        </w:tc>
        <w:tc>
          <w:tcPr>
            <w:tcW w:type="dxa" w:w="6560"/>
            <w:tcMar>
              <w:top w:w="80" w:type="dxa"/>
              <w:bottom w:w="80" w:type="dxa"/>
              <w:start w:w="120" w:type="dxa"/>
              <w:end w:w="120" w:type="dxa"/>
            </w:tcMar>
            <w:vAlign w:val="center"/>
          </w:tcPr>
          <w:p>
            <w:pPr>
              <w:spacing w:before="0" w:after="40" w:line="259" w:lineRule="auto"/>
            </w:pPr>
            <w:r/>
            <w:r>
              <w:rPr>
                <w:rFonts w:ascii="Consolas" w:hAnsi="Consolas"/>
                <w:b w:val="0"/>
                <w:color w:val="1F2937"/>
                <w:sz w:val="17"/>
              </w:rPr>
              <w:t>received(r), valid(r), queryRequest(r), updateRequest(r,n), targets(r,l), rejected(r,reason)</w:t>
            </w:r>
          </w:p>
        </w:tc>
      </w:tr>
      <w:tr>
        <w:trPr>
          <w:cantSplit/>
        </w:trPr>
        <w:tc>
          <w:tcPr>
            <w:tcW w:type="dxa" w:w="19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AvailabilityResponse</w:t>
            </w:r>
          </w:p>
        </w:tc>
        <w:tc>
          <w:tcPr>
            <w:tcW w:type="dxa" w:w="9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q</w:t>
            </w:r>
          </w:p>
        </w:tc>
        <w:tc>
          <w:tcPr>
            <w:tcW w:type="dxa" w:w="6560"/>
            <w:tcMar>
              <w:top w:w="80" w:type="dxa"/>
              <w:bottom w:w="80" w:type="dxa"/>
              <w:start w:w="120" w:type="dxa"/>
              <w:end w:w="120" w:type="dxa"/>
            </w:tcMar>
            <w:vAlign w:val="center"/>
          </w:tcPr>
          <w:p>
            <w:pPr>
              <w:spacing w:before="0" w:after="40" w:line="259" w:lineRule="auto"/>
            </w:pPr>
            <w:r/>
            <w:r>
              <w:rPr>
                <w:rFonts w:ascii="Consolas" w:hAnsi="Consolas"/>
                <w:b w:val="0"/>
                <w:color w:val="1F2937"/>
                <w:sz w:val="17"/>
              </w:rPr>
              <w:t>responseFor(q,r), contains(q,l), successful(q), errorResponse(q,code), delivered(q)</w:t>
            </w:r>
          </w:p>
        </w:tc>
      </w:tr>
    </w:tbl>
    <w:p>
      <w:pPr>
        <w:spacing w:before="0" w:after="0" w:line="140" w:lineRule="exact"/>
      </w:pPr>
      <w:r/>
    </w:p>
    <w:tbl>
      <w:tblPr>
        <w:tblStyle w:val="TableGrid"/>
        <w:tblW w:type="dxa" w:w="9360"/>
        <w:tblLook w:firstColumn="1" w:firstRow="1" w:lastColumn="0" w:lastRow="0" w:noHBand="0" w:noVBand="1" w:val="04A0"/>
        <w:tblInd w:w="120" w:type="dxa"/>
        <w:tblLayout w:type="fixed"/>
      </w:tblPr>
      <w:tblGrid>
        <w:gridCol w:w="9360"/>
      </w:tblGrid>
      <w:tr>
        <w:trPr>
          <w:cantSplit/>
        </w:trPr>
        <w:tc>
          <w:tcPr>
            <w:tcW w:type="dxa" w:w="9360"/>
            <w:shd w:fill="F2F4F7"/>
            <w:tcMar>
              <w:top w:w="80" w:type="dxa"/>
              <w:bottom w:w="80" w:type="dxa"/>
              <w:start w:w="120" w:type="dxa"/>
              <w:end w:w="120" w:type="dxa"/>
            </w:tcMar>
            <w:vAlign w:val="center"/>
          </w:tcPr>
          <w:p>
            <w:pPr>
              <w:spacing w:before="40" w:after="40" w:line="240" w:lineRule="auto"/>
            </w:pPr>
            <w:r/>
            <w:r>
              <w:rPr>
                <w:rFonts w:ascii="Calibri" w:hAnsi="Calibri"/>
                <w:b/>
                <w:color w:val="18364B"/>
                <w:sz w:val="18"/>
              </w:rPr>
              <w:t xml:space="preserve">Background knowledge BK-A  </w:t>
            </w:r>
            <w:r>
              <w:rPr>
                <w:rFonts w:ascii="Consolas" w:hAnsi="Consolas"/>
                <w:color w:val="1F2937"/>
                <w:sz w:val="18"/>
              </w:rPr>
              <w:t>full(l) &lt;-&gt; availableSpaces(l,0); limited(l) &lt;-&gt; 0 &lt; availableSpaces(l,n) &lt;= max(5,floor(totalSpaces(l)/10)); available(l) &lt;-&gt; availableSpaces(l,n) &gt; max(5,floor(totalSpaces(l)/10)); mutuallyExclusive(full,limited,available)</w:t>
            </w:r>
          </w:p>
        </w:tc>
      </w:tr>
    </w:tbl>
    <w:p>
      <w:pPr>
        <w:spacing w:before="0" w:after="0" w:line="140" w:lineRule="exact"/>
      </w:pPr>
      <w:r/>
    </w:p>
    <w:p>
      <w:pPr>
        <w:pStyle w:val="Heading2"/>
        <w:keepNext/>
      </w:pPr>
      <w:r>
        <w:rPr>
          <w:rFonts w:ascii="Calibri" w:hAnsi="Calibri"/>
          <w:b/>
          <w:color w:val="2E74B5"/>
          <w:sz w:val="26"/>
        </w:rPr>
        <w:t>4.2 Immediate Effects</w:t>
      </w:r>
    </w:p>
    <w:tbl>
      <w:tblPr>
        <w:tblStyle w:val="TableGrid"/>
        <w:tblW w:type="dxa" w:w="9360"/>
        <w:tblLook w:firstColumn="1" w:firstRow="1" w:lastColumn="0" w:lastRow="0" w:noHBand="0" w:noVBand="1" w:val="04A0"/>
        <w:tblInd w:w="120" w:type="dxa"/>
        <w:tblLayout w:type="fixed"/>
      </w:tblPr>
      <w:tblGrid>
        <w:gridCol w:w="650"/>
        <w:gridCol w:w="2500"/>
        <w:gridCol w:w="6210"/>
      </w:tblGrid>
      <w:tr>
        <w:trPr>
          <w:tblHeader w:val="true"/>
          <w:cantSplit/>
        </w:trPr>
        <w:tc>
          <w:tcPr>
            <w:tcW w:type="dxa" w:w="65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7"/>
              </w:rPr>
              <w:t>ID</w:t>
            </w:r>
          </w:p>
        </w:tc>
        <w:tc>
          <w:tcPr>
            <w:tcW w:type="dxa" w:w="250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7"/>
              </w:rPr>
              <w:t>BPMN task</w:t>
            </w:r>
          </w:p>
        </w:tc>
        <w:tc>
          <w:tcPr>
            <w:tcW w:type="dxa" w:w="621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7"/>
              </w:rPr>
              <w:t>Immediate effect assertion</w:t>
            </w:r>
          </w:p>
        </w:tc>
      </w:tr>
      <w:tr>
        <w:trPr>
          <w:cantSplit/>
        </w:trPr>
        <w:tc>
          <w:tcPr>
            <w:tcW w:type="dxa" w:w="650"/>
            <w:tcMar>
              <w:top w:w="80" w:type="dxa"/>
              <w:bottom w:w="80" w:type="dxa"/>
              <w:start w:w="120" w:type="dxa"/>
              <w:end w:w="120" w:type="dxa"/>
            </w:tcMar>
            <w:vAlign w:val="center"/>
          </w:tcPr>
          <w:p>
            <w:pPr>
              <w:spacing w:before="0" w:after="40" w:line="259" w:lineRule="auto"/>
            </w:pPr>
            <w:r/>
            <w:r>
              <w:rPr>
                <w:rFonts w:ascii="Calibri" w:hAnsi="Calibri"/>
                <w:b w:val="0"/>
                <w:color w:val="1F2937"/>
                <w:sz w:val="17"/>
              </w:rPr>
              <w:t>A1</w:t>
            </w:r>
          </w:p>
        </w:tc>
        <w:tc>
          <w:tcPr>
            <w:tcW w:type="dxa" w:w="25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Route request</w:t>
            </w:r>
          </w:p>
        </w:tc>
        <w:tc>
          <w:tcPr>
            <w:tcW w:type="dxa" w:w="6210"/>
            <w:tcMar>
              <w:top w:w="80" w:type="dxa"/>
              <w:bottom w:w="80" w:type="dxa"/>
              <w:start w:w="120" w:type="dxa"/>
              <w:end w:w="120" w:type="dxa"/>
            </w:tcMar>
            <w:vAlign w:val="center"/>
          </w:tcPr>
          <w:p>
            <w:pPr>
              <w:spacing w:before="0" w:after="40" w:line="259" w:lineRule="auto"/>
            </w:pPr>
            <w:r/>
            <w:r>
              <w:rPr>
                <w:rFonts w:ascii="Consolas" w:hAnsi="Consolas"/>
                <w:b w:val="0"/>
                <w:color w:val="1F2937"/>
                <w:sz w:val="17"/>
              </w:rPr>
              <w:t>received(r) ∧ routedTo(r,parkingAvailabilityService)</w:t>
            </w:r>
          </w:p>
        </w:tc>
      </w:tr>
      <w:tr>
        <w:trPr>
          <w:cantSplit/>
        </w:trPr>
        <w:tc>
          <w:tcPr>
            <w:tcW w:type="dxa" w:w="650"/>
            <w:tcMar>
              <w:top w:w="80" w:type="dxa"/>
              <w:bottom w:w="80" w:type="dxa"/>
              <w:start w:w="120" w:type="dxa"/>
              <w:end w:w="120" w:type="dxa"/>
            </w:tcMar>
            <w:vAlign w:val="center"/>
          </w:tcPr>
          <w:p>
            <w:pPr>
              <w:spacing w:before="0" w:after="40" w:line="259" w:lineRule="auto"/>
            </w:pPr>
            <w:r/>
            <w:r>
              <w:rPr>
                <w:rFonts w:ascii="Calibri" w:hAnsi="Calibri"/>
                <w:b w:val="0"/>
                <w:color w:val="1F2937"/>
                <w:sz w:val="17"/>
              </w:rPr>
              <w:t>A2</w:t>
            </w:r>
          </w:p>
        </w:tc>
        <w:tc>
          <w:tcPr>
            <w:tcW w:type="dxa" w:w="25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Validate request</w:t>
            </w:r>
          </w:p>
        </w:tc>
        <w:tc>
          <w:tcPr>
            <w:tcW w:type="dxa" w:w="6210"/>
            <w:tcMar>
              <w:top w:w="80" w:type="dxa"/>
              <w:bottom w:w="80" w:type="dxa"/>
              <w:start w:w="120" w:type="dxa"/>
              <w:end w:w="120" w:type="dxa"/>
            </w:tcMar>
            <w:vAlign w:val="center"/>
          </w:tcPr>
          <w:p>
            <w:pPr>
              <w:spacing w:before="0" w:after="40" w:line="259" w:lineRule="auto"/>
            </w:pPr>
            <w:r/>
            <w:r>
              <w:rPr>
                <w:rFonts w:ascii="Consolas" w:hAnsi="Consolas"/>
                <w:b w:val="0"/>
                <w:color w:val="1F2937"/>
                <w:sz w:val="17"/>
              </w:rPr>
              <w:t>valid(r) OR rejected(r,validationError)</w:t>
            </w:r>
          </w:p>
        </w:tc>
      </w:tr>
      <w:tr>
        <w:trPr>
          <w:cantSplit/>
        </w:trPr>
        <w:tc>
          <w:tcPr>
            <w:tcW w:type="dxa" w:w="650"/>
            <w:tcMar>
              <w:top w:w="80" w:type="dxa"/>
              <w:bottom w:w="80" w:type="dxa"/>
              <w:start w:w="120" w:type="dxa"/>
              <w:end w:w="120" w:type="dxa"/>
            </w:tcMar>
            <w:vAlign w:val="center"/>
          </w:tcPr>
          <w:p>
            <w:pPr>
              <w:spacing w:before="0" w:after="40" w:line="259" w:lineRule="auto"/>
            </w:pPr>
            <w:r/>
            <w:r>
              <w:rPr>
                <w:rFonts w:ascii="Calibri" w:hAnsi="Calibri"/>
                <w:b w:val="0"/>
                <w:color w:val="1F2937"/>
                <w:sz w:val="17"/>
              </w:rPr>
              <w:t>A3</w:t>
            </w:r>
          </w:p>
        </w:tc>
        <w:tc>
          <w:tcPr>
            <w:tcW w:type="dxa" w:w="25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Prepare stable error response</w:t>
            </w:r>
          </w:p>
        </w:tc>
        <w:tc>
          <w:tcPr>
            <w:tcW w:type="dxa" w:w="6210"/>
            <w:tcMar>
              <w:top w:w="80" w:type="dxa"/>
              <w:bottom w:w="80" w:type="dxa"/>
              <w:start w:w="120" w:type="dxa"/>
              <w:end w:w="120" w:type="dxa"/>
            </w:tcMar>
            <w:vAlign w:val="center"/>
          </w:tcPr>
          <w:p>
            <w:pPr>
              <w:spacing w:before="0" w:after="40" w:line="259" w:lineRule="auto"/>
            </w:pPr>
            <w:r/>
            <w:r>
              <w:rPr>
                <w:rFonts w:ascii="Consolas" w:hAnsi="Consolas"/>
                <w:b w:val="0"/>
                <w:color w:val="1F2937"/>
                <w:sz w:val="17"/>
              </w:rPr>
              <w:t>errorResponse(q,code) ∧ responseFor(q,r) ∧ ¬dataMutated(r)</w:t>
            </w:r>
          </w:p>
        </w:tc>
      </w:tr>
      <w:tr>
        <w:trPr>
          <w:cantSplit/>
        </w:trPr>
        <w:tc>
          <w:tcPr>
            <w:tcW w:type="dxa" w:w="650"/>
            <w:tcMar>
              <w:top w:w="80" w:type="dxa"/>
              <w:bottom w:w="80" w:type="dxa"/>
              <w:start w:w="120" w:type="dxa"/>
              <w:end w:w="120" w:type="dxa"/>
            </w:tcMar>
            <w:vAlign w:val="center"/>
          </w:tcPr>
          <w:p>
            <w:pPr>
              <w:spacing w:before="0" w:after="40" w:line="259" w:lineRule="auto"/>
            </w:pPr>
            <w:r/>
            <w:r>
              <w:rPr>
                <w:rFonts w:ascii="Calibri" w:hAnsi="Calibri"/>
                <w:b w:val="0"/>
                <w:color w:val="1F2937"/>
                <w:sz w:val="17"/>
              </w:rPr>
              <w:t>A4</w:t>
            </w:r>
          </w:p>
        </w:tc>
        <w:tc>
          <w:tcPr>
            <w:tcW w:type="dxa" w:w="2500"/>
            <w:tcMar>
              <w:top w:w="80" w:type="dxa"/>
              <w:bottom w:w="80" w:type="dxa"/>
              <w:start w:w="120" w:type="dxa"/>
              <w:end w:w="120" w:type="dxa"/>
            </w:tcMar>
            <w:vAlign w:val="center"/>
          </w:tcPr>
          <w:p>
            <w:pPr>
              <w:spacing w:before="0" w:after="40" w:line="259" w:lineRule="auto"/>
            </w:pPr>
            <w:r/>
            <w:r>
              <w:rPr>
                <w:rFonts w:ascii="Consolas" w:hAnsi="Consolas"/>
                <w:b w:val="0"/>
                <w:color w:val="1F2937"/>
                <w:sz w:val="17"/>
              </w:rPr>
              <w:t>Retrieve parking lot record(s)</w:t>
            </w:r>
          </w:p>
        </w:tc>
        <w:tc>
          <w:tcPr>
            <w:tcW w:type="dxa" w:w="6210"/>
            <w:tcMar>
              <w:top w:w="80" w:type="dxa"/>
              <w:bottom w:w="80" w:type="dxa"/>
              <w:start w:w="120" w:type="dxa"/>
              <w:end w:w="120" w:type="dxa"/>
            </w:tcMar>
            <w:vAlign w:val="center"/>
          </w:tcPr>
          <w:p>
            <w:pPr>
              <w:spacing w:before="0" w:after="40" w:line="259" w:lineRule="auto"/>
            </w:pPr>
            <w:r/>
            <w:r>
              <w:rPr>
                <w:rFonts w:ascii="Consolas" w:hAnsi="Consolas"/>
                <w:b w:val="0"/>
                <w:color w:val="1F2937"/>
                <w:sz w:val="17"/>
              </w:rPr>
              <w:t>retrieved(l) ∧ contains(q,l) ∧ reflectsStoredState(q,l)</w:t>
            </w:r>
          </w:p>
        </w:tc>
      </w:tr>
      <w:tr>
        <w:trPr>
          <w:cantSplit/>
        </w:trPr>
        <w:tc>
          <w:tcPr>
            <w:tcW w:type="dxa" w:w="650"/>
            <w:tcMar>
              <w:top w:w="80" w:type="dxa"/>
              <w:bottom w:w="80" w:type="dxa"/>
              <w:start w:w="120" w:type="dxa"/>
              <w:end w:w="120" w:type="dxa"/>
            </w:tcMar>
            <w:vAlign w:val="center"/>
          </w:tcPr>
          <w:p>
            <w:pPr>
              <w:spacing w:before="0" w:after="40" w:line="259" w:lineRule="auto"/>
            </w:pPr>
            <w:r/>
            <w:r>
              <w:rPr>
                <w:rFonts w:ascii="Calibri" w:hAnsi="Calibri"/>
                <w:b w:val="0"/>
                <w:color w:val="1F2937"/>
                <w:sz w:val="17"/>
              </w:rPr>
              <w:t>A5</w:t>
            </w:r>
          </w:p>
        </w:tc>
        <w:tc>
          <w:tcPr>
            <w:tcW w:type="dxa" w:w="25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Validate lot and capacity</w:t>
            </w:r>
          </w:p>
        </w:tc>
        <w:tc>
          <w:tcPr>
            <w:tcW w:type="dxa" w:w="6210"/>
            <w:tcMar>
              <w:top w:w="80" w:type="dxa"/>
              <w:bottom w:w="80" w:type="dxa"/>
              <w:start w:w="120" w:type="dxa"/>
              <w:end w:w="120" w:type="dxa"/>
            </w:tcMar>
            <w:vAlign w:val="center"/>
          </w:tcPr>
          <w:p>
            <w:pPr>
              <w:spacing w:before="0" w:after="40" w:line="259" w:lineRule="auto"/>
            </w:pPr>
            <w:r/>
            <w:r>
              <w:rPr>
                <w:rFonts w:ascii="Consolas" w:hAnsi="Consolas"/>
                <w:b w:val="0"/>
                <w:color w:val="1F2937"/>
                <w:sz w:val="17"/>
              </w:rPr>
              <w:t>known(l) ∧ 0 &lt;= n &lt;= totalSpaces(l) OR rejected(r,notFoundOrCapacity)</w:t>
            </w:r>
          </w:p>
        </w:tc>
      </w:tr>
      <w:tr>
        <w:trPr>
          <w:cantSplit/>
        </w:trPr>
        <w:tc>
          <w:tcPr>
            <w:tcW w:type="dxa" w:w="650"/>
            <w:tcMar>
              <w:top w:w="80" w:type="dxa"/>
              <w:bottom w:w="80" w:type="dxa"/>
              <w:start w:w="120" w:type="dxa"/>
              <w:end w:w="120" w:type="dxa"/>
            </w:tcMar>
            <w:vAlign w:val="center"/>
          </w:tcPr>
          <w:p>
            <w:pPr>
              <w:spacing w:before="0" w:after="40" w:line="259" w:lineRule="auto"/>
            </w:pPr>
            <w:r/>
            <w:r>
              <w:rPr>
                <w:rFonts w:ascii="Calibri" w:hAnsi="Calibri"/>
                <w:b w:val="0"/>
                <w:color w:val="1F2937"/>
                <w:sz w:val="17"/>
              </w:rPr>
              <w:t>A6</w:t>
            </w:r>
          </w:p>
        </w:tc>
        <w:tc>
          <w:tcPr>
            <w:tcW w:type="dxa" w:w="25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Persist spaces and updated_at</w:t>
            </w:r>
          </w:p>
        </w:tc>
        <w:tc>
          <w:tcPr>
            <w:tcW w:type="dxa" w:w="6210"/>
            <w:tcMar>
              <w:top w:w="80" w:type="dxa"/>
              <w:bottom w:w="80" w:type="dxa"/>
              <w:start w:w="120" w:type="dxa"/>
              <w:end w:w="120" w:type="dxa"/>
            </w:tcMar>
            <w:vAlign w:val="center"/>
          </w:tcPr>
          <w:p>
            <w:pPr>
              <w:spacing w:before="0" w:after="40" w:line="259" w:lineRule="auto"/>
            </w:pPr>
            <w:r/>
            <w:r>
              <w:rPr>
                <w:rFonts w:ascii="Consolas" w:hAnsi="Consolas"/>
                <w:b w:val="0"/>
                <w:color w:val="1F2937"/>
                <w:sz w:val="17"/>
              </w:rPr>
              <w:t>availableSpaces(l,n) ∧ updatedAt(l,t) ∧ persisted(l)</w:t>
            </w:r>
          </w:p>
        </w:tc>
      </w:tr>
      <w:tr>
        <w:trPr>
          <w:cantSplit/>
        </w:trPr>
        <w:tc>
          <w:tcPr>
            <w:tcW w:type="dxa" w:w="650"/>
            <w:tcMar>
              <w:top w:w="80" w:type="dxa"/>
              <w:bottom w:w="80" w:type="dxa"/>
              <w:start w:w="120" w:type="dxa"/>
              <w:end w:w="120" w:type="dxa"/>
            </w:tcMar>
            <w:vAlign w:val="center"/>
          </w:tcPr>
          <w:p>
            <w:pPr>
              <w:spacing w:before="0" w:after="40" w:line="259" w:lineRule="auto"/>
            </w:pPr>
            <w:r/>
            <w:r>
              <w:rPr>
                <w:rFonts w:ascii="Calibri" w:hAnsi="Calibri"/>
                <w:b w:val="0"/>
                <w:color w:val="1F2937"/>
                <w:sz w:val="17"/>
              </w:rPr>
              <w:t>A7</w:t>
            </w:r>
          </w:p>
        </w:tc>
        <w:tc>
          <w:tcPr>
            <w:tcW w:type="dxa" w:w="25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Derive availability status</w:t>
            </w:r>
          </w:p>
        </w:tc>
        <w:tc>
          <w:tcPr>
            <w:tcW w:type="dxa" w:w="6210"/>
            <w:tcMar>
              <w:top w:w="80" w:type="dxa"/>
              <w:bottom w:w="80" w:type="dxa"/>
              <w:start w:w="120" w:type="dxa"/>
              <w:end w:w="120" w:type="dxa"/>
            </w:tcMar>
            <w:vAlign w:val="center"/>
          </w:tcPr>
          <w:p>
            <w:pPr>
              <w:spacing w:before="0" w:after="40" w:line="259" w:lineRule="auto"/>
            </w:pPr>
            <w:r/>
            <w:r>
              <w:rPr>
                <w:rFonts w:ascii="Consolas" w:hAnsi="Consolas"/>
                <w:b w:val="0"/>
                <w:color w:val="1F2937"/>
                <w:sz w:val="17"/>
              </w:rPr>
              <w:t>availabilityStatus(l,status) ∧ status ∈ {available,limited,full}</w:t>
            </w:r>
          </w:p>
        </w:tc>
      </w:tr>
      <w:tr>
        <w:trPr>
          <w:cantSplit/>
        </w:trPr>
        <w:tc>
          <w:tcPr>
            <w:tcW w:type="dxa" w:w="650"/>
            <w:tcMar>
              <w:top w:w="80" w:type="dxa"/>
              <w:bottom w:w="80" w:type="dxa"/>
              <w:start w:w="120" w:type="dxa"/>
              <w:end w:w="120" w:type="dxa"/>
            </w:tcMar>
            <w:vAlign w:val="center"/>
          </w:tcPr>
          <w:p>
            <w:pPr>
              <w:spacing w:before="0" w:after="40" w:line="259" w:lineRule="auto"/>
            </w:pPr>
            <w:r/>
            <w:r>
              <w:rPr>
                <w:rFonts w:ascii="Calibri" w:hAnsi="Calibri"/>
                <w:b w:val="0"/>
                <w:color w:val="1F2937"/>
                <w:sz w:val="17"/>
              </w:rPr>
              <w:t>A8</w:t>
            </w:r>
          </w:p>
        </w:tc>
        <w:tc>
          <w:tcPr>
            <w:tcW w:type="dxa" w:w="25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Return JSON response</w:t>
            </w:r>
          </w:p>
        </w:tc>
        <w:tc>
          <w:tcPr>
            <w:tcW w:type="dxa" w:w="6210"/>
            <w:tcMar>
              <w:top w:w="80" w:type="dxa"/>
              <w:bottom w:w="80" w:type="dxa"/>
              <w:start w:w="120" w:type="dxa"/>
              <w:end w:w="120" w:type="dxa"/>
            </w:tcMar>
            <w:vAlign w:val="center"/>
          </w:tcPr>
          <w:p>
            <w:pPr>
              <w:spacing w:before="0" w:after="40" w:line="259" w:lineRule="auto"/>
            </w:pPr>
            <w:r/>
            <w:r>
              <w:rPr>
                <w:rFonts w:ascii="Consolas" w:hAnsi="Consolas"/>
                <w:b w:val="0"/>
                <w:color w:val="1F2937"/>
                <w:sz w:val="17"/>
              </w:rPr>
              <w:t>delivered(q) ∧ responseFor(q,r) ∧ (successful(q) OR errorResponse(q,code))</w:t>
            </w:r>
          </w:p>
        </w:tc>
      </w:tr>
    </w:tbl>
    <w:p>
      <w:pPr>
        <w:spacing w:before="0" w:after="0" w:line="140" w:lineRule="exact"/>
      </w:pPr>
      <w:r/>
    </w:p>
    <w:p>
      <w:pPr>
        <w:pStyle w:val="Heading2"/>
        <w:keepNext/>
      </w:pPr>
      <w:r>
        <w:rPr>
          <w:rFonts w:ascii="Calibri" w:hAnsi="Calibri"/>
          <w:b/>
          <w:color w:val="2E74B5"/>
          <w:sz w:val="26"/>
        </w:rPr>
        <w:t>4.3 Cumulative Effect Scenarios</w:t>
      </w:r>
    </w:p>
    <w:tbl>
      <w:tblPr>
        <w:tblStyle w:val="TableGrid"/>
        <w:tblW w:type="dxa" w:w="9360"/>
        <w:tblLook w:firstColumn="1" w:firstRow="1" w:lastColumn="0" w:lastRow="0" w:noHBand="0" w:noVBand="1" w:val="04A0"/>
        <w:tblInd w:w="120" w:type="dxa"/>
        <w:tblLayout w:type="fixed"/>
      </w:tblPr>
      <w:tblGrid>
        <w:gridCol w:w="9360"/>
      </w:tblGrid>
      <w:tr>
        <w:trPr>
          <w:cantSplit/>
        </w:trPr>
        <w:tc>
          <w:tcPr>
            <w:tcW w:type="dxa" w:w="9360"/>
            <w:shd w:fill="F2F4F7"/>
            <w:tcMar>
              <w:top w:w="80" w:type="dxa"/>
              <w:bottom w:w="80" w:type="dxa"/>
              <w:start w:w="120" w:type="dxa"/>
              <w:end w:w="120" w:type="dxa"/>
            </w:tcMar>
            <w:vAlign w:val="center"/>
          </w:tcPr>
          <w:p>
            <w:pPr>
              <w:spacing w:before="40" w:after="40" w:line="240" w:lineRule="auto"/>
            </w:pPr>
            <w:r/>
            <w:r>
              <w:rPr>
                <w:rFonts w:ascii="Calibri" w:hAnsi="Calibri"/>
                <w:b/>
                <w:color w:val="18364B"/>
                <w:sz w:val="18"/>
              </w:rPr>
              <w:t xml:space="preserve">Scenario AV-Q (successful query)  </w:t>
            </w:r>
            <w:r>
              <w:rPr>
                <w:rFonts w:ascii="Consolas" w:hAnsi="Consolas"/>
                <w:color w:val="1F2937"/>
                <w:sz w:val="18"/>
              </w:rPr>
              <w:t>&lt;A1,A2,A4,A7,A8&gt; : received(r) ∧ valid(r) ∧ retrieved(l) ∧ availabilityStatus(l,status) ∧ delivered(q) ∧ successful(q)</w:t>
            </w:r>
          </w:p>
        </w:tc>
      </w:tr>
    </w:tbl>
    <w:p>
      <w:pPr>
        <w:spacing w:before="0" w:after="0" w:line="140" w:lineRule="exact"/>
      </w:pPr>
      <w:r/>
    </w:p>
    <w:tbl>
      <w:tblPr>
        <w:tblStyle w:val="TableGrid"/>
        <w:tblW w:type="dxa" w:w="9360"/>
        <w:tblLook w:firstColumn="1" w:firstRow="1" w:lastColumn="0" w:lastRow="0" w:noHBand="0" w:noVBand="1" w:val="04A0"/>
        <w:tblInd w:w="120" w:type="dxa"/>
        <w:tblLayout w:type="fixed"/>
      </w:tblPr>
      <w:tblGrid>
        <w:gridCol w:w="9360"/>
      </w:tblGrid>
      <w:tr>
        <w:trPr>
          <w:cantSplit/>
        </w:trPr>
        <w:tc>
          <w:tcPr>
            <w:tcW w:type="dxa" w:w="9360"/>
            <w:shd w:fill="F2F4F7"/>
            <w:tcMar>
              <w:top w:w="80" w:type="dxa"/>
              <w:bottom w:w="80" w:type="dxa"/>
              <w:start w:w="120" w:type="dxa"/>
              <w:end w:w="120" w:type="dxa"/>
            </w:tcMar>
            <w:vAlign w:val="center"/>
          </w:tcPr>
          <w:p>
            <w:pPr>
              <w:spacing w:before="40" w:after="40" w:line="240" w:lineRule="auto"/>
            </w:pPr>
            <w:r/>
            <w:r>
              <w:rPr>
                <w:rFonts w:ascii="Calibri" w:hAnsi="Calibri"/>
                <w:b/>
                <w:color w:val="18364B"/>
                <w:sz w:val="18"/>
              </w:rPr>
              <w:t xml:space="preserve">Scenario AV-U (successful update)  </w:t>
            </w:r>
            <w:r>
              <w:rPr>
                <w:rFonts w:ascii="Consolas" w:hAnsi="Consolas"/>
                <w:color w:val="1F2937"/>
                <w:sz w:val="18"/>
              </w:rPr>
              <w:t>&lt;A1,A2,A5,A6,A7,A8&gt; : valid(r) ∧ known(l) ∧ availableSpaces(l,n) ∧ updatedAt(l,t) ∧ persisted(l) ∧ availabilityStatus(l,status) ∧ delivered(q)</w:t>
            </w:r>
          </w:p>
        </w:tc>
      </w:tr>
    </w:tbl>
    <w:p>
      <w:pPr>
        <w:spacing w:before="0" w:after="0" w:line="140" w:lineRule="exact"/>
      </w:pPr>
      <w:r/>
    </w:p>
    <w:tbl>
      <w:tblPr>
        <w:tblStyle w:val="TableGrid"/>
        <w:tblW w:type="dxa" w:w="9360"/>
        <w:tblLook w:firstColumn="1" w:firstRow="1" w:lastColumn="0" w:lastRow="0" w:noHBand="0" w:noVBand="1" w:val="04A0"/>
        <w:tblInd w:w="120" w:type="dxa"/>
        <w:tblLayout w:type="fixed"/>
      </w:tblPr>
      <w:tblGrid>
        <w:gridCol w:w="9360"/>
      </w:tblGrid>
      <w:tr>
        <w:trPr>
          <w:cantSplit/>
        </w:trPr>
        <w:tc>
          <w:tcPr>
            <w:tcW w:type="dxa" w:w="9360"/>
            <w:shd w:fill="F2F4F7"/>
            <w:tcMar>
              <w:top w:w="80" w:type="dxa"/>
              <w:bottom w:w="80" w:type="dxa"/>
              <w:start w:w="120" w:type="dxa"/>
              <w:end w:w="120" w:type="dxa"/>
            </w:tcMar>
            <w:vAlign w:val="center"/>
          </w:tcPr>
          <w:p>
            <w:pPr>
              <w:spacing w:before="40" w:after="40" w:line="240" w:lineRule="auto"/>
            </w:pPr>
            <w:r/>
            <w:r>
              <w:rPr>
                <w:rFonts w:ascii="Calibri" w:hAnsi="Calibri"/>
                <w:b/>
                <w:color w:val="18364B"/>
                <w:sz w:val="18"/>
              </w:rPr>
              <w:t xml:space="preserve">Scenario AV-E (rejected request)  </w:t>
            </w:r>
            <w:r>
              <w:rPr>
                <w:rFonts w:ascii="Consolas" w:hAnsi="Consolas"/>
                <w:color w:val="1F2937"/>
                <w:sz w:val="18"/>
              </w:rPr>
              <w:t>&lt;A1,A2,A3,A8&gt; or &lt;A1,A2,A5,A3,A8&gt; : rejected(r,reason) ∧ errorResponse(q,code) ∧ ¬dataMutated(r) ∧ delivered(q)</w:t>
            </w:r>
          </w:p>
        </w:tc>
      </w:tr>
    </w:tbl>
    <w:p>
      <w:pPr>
        <w:spacing w:before="0" w:after="0" w:line="140" w:lineRule="exact"/>
      </w:pPr>
      <w:r/>
    </w:p>
    <w:tbl>
      <w:tblPr>
        <w:tblStyle w:val="TableGrid"/>
        <w:tblW w:type="dxa" w:w="9360"/>
        <w:tblLook w:firstColumn="1" w:firstRow="1" w:lastColumn="0" w:lastRow="0" w:noHBand="0" w:noVBand="1" w:val="04A0"/>
        <w:tblInd w:w="120" w:type="dxa"/>
        <w:tblLayout w:type="fixed"/>
      </w:tblPr>
      <w:tblGrid>
        <w:gridCol w:w="9360"/>
      </w:tblGrid>
      <w:tr>
        <w:trPr>
          <w:cantSplit/>
        </w:trPr>
        <w:tc>
          <w:tcPr>
            <w:tcW w:type="dxa" w:w="9360"/>
            <w:shd w:fill="FFF4D6"/>
            <w:tcMar>
              <w:top w:w="80" w:type="dxa"/>
              <w:bottom w:w="80" w:type="dxa"/>
              <w:start w:w="120" w:type="dxa"/>
              <w:end w:w="120" w:type="dxa"/>
            </w:tcMar>
            <w:vAlign w:val="center"/>
          </w:tcPr>
          <w:p>
            <w:pPr>
              <w:spacing w:before="40" w:after="40" w:line="276" w:lineRule="auto"/>
            </w:pPr>
            <w:r/>
            <w:r>
              <w:rPr>
                <w:rFonts w:ascii="Calibri" w:hAnsi="Calibri"/>
                <w:b/>
                <w:color w:val="18364B"/>
                <w:sz w:val="20"/>
              </w:rPr>
              <w:t xml:space="preserve">Exclude sets: </w:t>
            </w:r>
            <w:r>
              <w:rPr>
                <w:rFonts w:ascii="Calibri" w:hAnsi="Calibri"/>
                <w:color w:val="1F2937"/>
                <w:sz w:val="20"/>
              </w:rPr>
              <w:t>AV-Q, AV-U and AV-E are mutually exclusive terminal scenarios for one request. For an update request, the successful AV-U label excludes AV-E; an unknown lot or invalid capacity selects AV-E and excludes AV-U.</w:t>
            </w:r>
          </w:p>
        </w:tc>
      </w:tr>
    </w:tbl>
    <w:p>
      <w:pPr>
        <w:spacing w:before="0" w:after="0" w:line="140" w:lineRule="exact"/>
      </w:pPr>
      <w:r/>
    </w:p>
    <w:p>
      <w:pPr>
        <w:pStyle w:val="Heading1"/>
        <w:keepNext/>
      </w:pPr>
      <w:r>
        <w:rPr>
          <w:rFonts w:ascii="Calibri" w:hAnsi="Calibri"/>
          <w:b/>
          <w:color w:val="2E74B5"/>
          <w:sz w:val="32"/>
        </w:rPr>
        <w:t>5. BSRL - Parking Billing and Payment Service</w:t>
      </w:r>
    </w:p>
    <w:tbl>
      <w:tblPr>
        <w:tblStyle w:val="TableGrid"/>
        <w:tblW w:type="dxa" w:w="9360"/>
        <w:tblLook w:firstColumn="1" w:firstRow="1" w:lastColumn="0" w:lastRow="0" w:noHBand="0" w:noVBand="1" w:val="04A0"/>
        <w:tblInd w:w="120" w:type="dxa"/>
        <w:tblLayout w:type="fixed"/>
      </w:tblPr>
      <w:tblGrid>
        <w:gridCol w:w="2700"/>
        <w:gridCol w:w="6660"/>
      </w:tblGrid>
      <w:tr>
        <w:trPr>
          <w:cantSplit/>
        </w:trPr>
        <w:tc>
          <w:tcPr>
            <w:tcW w:type="dxa" w:w="270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8"/>
              </w:rPr>
              <w:t>Service description</w:t>
            </w:r>
          </w:p>
        </w:tc>
        <w:tc>
          <w:tcPr>
            <w:tcW w:type="dxa" w:w="6660"/>
            <w:tcMar>
              <w:top w:w="80" w:type="dxa"/>
              <w:bottom w:w="80" w:type="dxa"/>
              <w:start w:w="120" w:type="dxa"/>
              <w:end w:w="120" w:type="dxa"/>
            </w:tcMar>
            <w:vAlign w:val="center"/>
          </w:tcPr>
          <w:p>
            <w:pPr>
              <w:spacing w:before="0" w:after="40" w:line="259" w:lineRule="auto"/>
            </w:pPr>
            <w:r/>
            <w:r>
              <w:rPr>
                <w:rFonts w:ascii="Calibri" w:hAnsi="Calibri"/>
                <w:b w:val="0"/>
                <w:color w:val="1F2937"/>
                <w:sz w:val="18"/>
              </w:rPr>
              <w:t>Parking Billing and Payment Service (service slug: parking-billing; implementation type: business service).</w:t>
            </w:r>
          </w:p>
        </w:tc>
      </w:tr>
      <w:tr>
        <w:trPr>
          <w:cantSplit/>
        </w:trPr>
        <w:tc>
          <w:tcPr>
            <w:tcW w:type="dxa" w:w="270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8"/>
              </w:rPr>
              <w:t>Goal</w:t>
            </w:r>
          </w:p>
        </w:tc>
        <w:tc>
          <w:tcPr>
            <w:tcW w:type="dxa" w:w="6660"/>
            <w:tcMar>
              <w:top w:w="80" w:type="dxa"/>
              <w:bottom w:w="80" w:type="dxa"/>
              <w:start w:w="120" w:type="dxa"/>
              <w:end w:w="120" w:type="dxa"/>
            </w:tcMar>
            <w:vAlign w:val="center"/>
          </w:tcPr>
          <w:p>
            <w:pPr>
              <w:spacing w:before="0" w:after="40" w:line="259" w:lineRule="auto"/>
            </w:pPr>
            <w:r/>
            <w:r>
              <w:rPr>
                <w:rFonts w:ascii="Calibri" w:hAnsi="Calibri"/>
                <w:b w:val="0"/>
                <w:color w:val="1F2937"/>
                <w:sz w:val="18"/>
              </w:rPr>
              <w:t>Track a vehicle parking session from entry to exit, calculate the payable fee according to the published tariff, accept an eligible payment, and expose an auditable event sequence.</w:t>
            </w:r>
          </w:p>
        </w:tc>
      </w:tr>
      <w:tr>
        <w:trPr>
          <w:cantSplit/>
        </w:trPr>
        <w:tc>
          <w:tcPr>
            <w:tcW w:type="dxa" w:w="270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8"/>
              </w:rPr>
              <w:t>Preconditions</w:t>
            </w:r>
          </w:p>
        </w:tc>
        <w:tc>
          <w:tcPr>
            <w:tcW w:type="dxa" w:w="6660"/>
            <w:tcMar>
              <w:top w:w="80" w:type="dxa"/>
              <w:bottom w:w="80" w:type="dxa"/>
              <w:start w:w="120" w:type="dxa"/>
              <w:end w:w="120" w:type="dxa"/>
            </w:tcMar>
            <w:vAlign w:val="center"/>
          </w:tcPr>
          <w:p>
            <w:pPr>
              <w:spacing w:before="0" w:after="40" w:line="259" w:lineRule="auto"/>
            </w:pPr>
            <w:r/>
            <w:r>
              <w:rPr>
                <w:rFonts w:ascii="Calibri" w:hAnsi="Calibri"/>
                <w:b w:val="0"/>
                <w:color w:val="1F2937"/>
                <w:sz w:val="18"/>
              </w:rPr>
              <w:t>Create: citizen_id, vehicle_plate and parking_lot_id are valid and the vehicle has no active session. End: the session exists, is active and ended_at is later than started_at. Pay: the session exists, is completed/unpaid and payment_method is card or digital_wallet.</w:t>
            </w:r>
          </w:p>
        </w:tc>
      </w:tr>
      <w:tr>
        <w:trPr>
          <w:cantSplit/>
        </w:trPr>
        <w:tc>
          <w:tcPr>
            <w:tcW w:type="dxa" w:w="270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8"/>
              </w:rPr>
              <w:t>Postconditions</w:t>
            </w:r>
          </w:p>
        </w:tc>
        <w:tc>
          <w:tcPr>
            <w:tcW w:type="dxa" w:w="6660"/>
            <w:tcMar>
              <w:top w:w="80" w:type="dxa"/>
              <w:bottom w:w="80" w:type="dxa"/>
              <w:start w:w="120" w:type="dxa"/>
              <w:end w:w="120" w:type="dxa"/>
            </w:tcMar>
            <w:vAlign w:val="center"/>
          </w:tcPr>
          <w:p>
            <w:pPr>
              <w:spacing w:before="0" w:after="40" w:line="259" w:lineRule="auto"/>
            </w:pPr>
            <w:r/>
            <w:r>
              <w:rPr>
                <w:rFonts w:ascii="Calibri" w:hAnsi="Calibri"/>
                <w:b w:val="0"/>
                <w:color w:val="1F2937"/>
                <w:sz w:val="18"/>
              </w:rPr>
              <w:t>Create produces active/not_due. End records ended_at and duration, calculates amount_minor, and produces completed/unpaid. Payment creates a completed ParkingPayment and produces completed/paid. Every successful state-changing operation records the corresponding frozen activity event.</w:t>
            </w:r>
          </w:p>
        </w:tc>
      </w:tr>
      <w:tr>
        <w:trPr>
          <w:cantSplit/>
        </w:trPr>
        <w:tc>
          <w:tcPr>
            <w:tcW w:type="dxa" w:w="270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8"/>
              </w:rPr>
              <w:t>Assumptions</w:t>
            </w:r>
          </w:p>
        </w:tc>
        <w:tc>
          <w:tcPr>
            <w:tcW w:type="dxa" w:w="6660"/>
            <w:tcMar>
              <w:top w:w="80" w:type="dxa"/>
              <w:bottom w:w="80" w:type="dxa"/>
              <w:start w:w="120" w:type="dxa"/>
              <w:end w:w="120" w:type="dxa"/>
            </w:tcMar>
            <w:vAlign w:val="center"/>
          </w:tcPr>
          <w:p>
            <w:pPr>
              <w:spacing w:before="0" w:after="40" w:line="259" w:lineRule="auto"/>
            </w:pPr>
            <w:r/>
            <w:r>
              <w:rPr>
                <w:rFonts w:ascii="Calibri" w:hAnsi="Calibri"/>
                <w:b w:val="0"/>
                <w:color w:val="1F2937"/>
                <w:sz w:val="18"/>
              </w:rPr>
              <w:t>Timestamps are trusted UTC values; the currency is AUD; the parking lot identifier is supplied by the caller; prototype payment confirmation is synchronous and does not call an external card acquirer; simulated Reject Payment events are analysis data, not runtime payment-provider responses.</w:t>
            </w:r>
          </w:p>
        </w:tc>
      </w:tr>
      <w:tr>
        <w:trPr>
          <w:cantSplit/>
        </w:trPr>
        <w:tc>
          <w:tcPr>
            <w:tcW w:type="dxa" w:w="270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8"/>
              </w:rPr>
              <w:t>Resources</w:t>
            </w:r>
          </w:p>
        </w:tc>
        <w:tc>
          <w:tcPr>
            <w:tcW w:type="dxa" w:w="6660"/>
            <w:tcMar>
              <w:top w:w="80" w:type="dxa"/>
              <w:bottom w:w="80" w:type="dxa"/>
              <w:start w:w="120" w:type="dxa"/>
              <w:end w:w="120" w:type="dxa"/>
            </w:tcMar>
            <w:vAlign w:val="center"/>
          </w:tcPr>
          <w:p>
            <w:pPr>
              <w:spacing w:before="0" w:after="40" w:line="259" w:lineRule="auto"/>
            </w:pPr>
            <w:r/>
            <w:r>
              <w:rPr>
                <w:rFonts w:ascii="Calibri" w:hAnsi="Calibri"/>
                <w:b w:val="0"/>
                <w:color w:val="1F2937"/>
                <w:sz w:val="18"/>
              </w:rPr>
              <w:t>FastAPI service; independent SQLite sessions/payments/events tables; SQLAlchemy repository; pricing component; OpenAPI contract; Gateway router; frontend page; deterministic event-log generator and activity dictionary.</w:t>
            </w:r>
          </w:p>
        </w:tc>
      </w:tr>
    </w:tbl>
    <w:p>
      <w:pPr>
        <w:spacing w:before="0" w:after="0" w:line="140" w:lineRule="exact"/>
      </w:pPr>
      <w:r/>
    </w:p>
    <w:p>
      <w:pPr>
        <w:pStyle w:val="Heading2"/>
        <w:keepNext/>
      </w:pPr>
      <w:r>
        <w:rPr>
          <w:rFonts w:ascii="Calibri" w:hAnsi="Calibri"/>
          <w:b/>
          <w:color w:val="2E74B5"/>
          <w:sz w:val="26"/>
        </w:rPr>
        <w:t>5.1 Inputs and Outputs</w:t>
      </w:r>
    </w:p>
    <w:tbl>
      <w:tblPr>
        <w:tblStyle w:val="TableGrid"/>
        <w:tblW w:type="dxa" w:w="9360"/>
        <w:tblLook w:firstColumn="1" w:firstRow="1" w:lastColumn="0" w:lastRow="0" w:noHBand="0" w:noVBand="1" w:val="04A0"/>
        <w:tblInd w:w="120" w:type="dxa"/>
        <w:tblLayout w:type="fixed"/>
      </w:tblPr>
      <w:tblGrid>
        <w:gridCol w:w="1500"/>
        <w:gridCol w:w="2300"/>
        <w:gridCol w:w="2400"/>
        <w:gridCol w:w="3160"/>
      </w:tblGrid>
      <w:tr>
        <w:trPr>
          <w:tblHeader w:val="true"/>
          <w:cantSplit/>
        </w:trPr>
        <w:tc>
          <w:tcPr>
            <w:tcW w:type="dxa" w:w="150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7"/>
              </w:rPr>
              <w:t>Operation</w:t>
            </w:r>
          </w:p>
        </w:tc>
        <w:tc>
          <w:tcPr>
            <w:tcW w:type="dxa" w:w="230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7"/>
              </w:rPr>
              <w:t>Input</w:t>
            </w:r>
          </w:p>
        </w:tc>
        <w:tc>
          <w:tcPr>
            <w:tcW w:type="dxa" w:w="240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7"/>
              </w:rPr>
              <w:t>Success output</w:t>
            </w:r>
          </w:p>
        </w:tc>
        <w:tc>
          <w:tcPr>
            <w:tcW w:type="dxa" w:w="316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7"/>
              </w:rPr>
              <w:t>Exceptional output</w:t>
            </w:r>
          </w:p>
        </w:tc>
      </w:tr>
      <w:tr>
        <w:trPr>
          <w:cantSplit/>
        </w:trPr>
        <w:tc>
          <w:tcPr>
            <w:tcW w:type="dxa" w:w="15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Create session</w:t>
            </w:r>
          </w:p>
        </w:tc>
        <w:tc>
          <w:tcPr>
            <w:tcW w:type="dxa" w:w="23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citizen_id; vehicle_plate; parking_lot_id; optional started_at</w:t>
            </w:r>
          </w:p>
        </w:tc>
        <w:tc>
          <w:tcPr>
            <w:tcW w:type="dxa" w:w="24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201; active/not_due ParkingSession</w:t>
            </w:r>
          </w:p>
        </w:tc>
        <w:tc>
          <w:tcPr>
            <w:tcW w:type="dxa" w:w="3160"/>
            <w:tcMar>
              <w:top w:w="80" w:type="dxa"/>
              <w:bottom w:w="80" w:type="dxa"/>
              <w:start w:w="120" w:type="dxa"/>
              <w:end w:w="120" w:type="dxa"/>
            </w:tcMar>
            <w:vAlign w:val="center"/>
          </w:tcPr>
          <w:p>
            <w:pPr>
              <w:spacing w:before="0" w:after="40" w:line="259" w:lineRule="auto"/>
            </w:pPr>
            <w:r/>
            <w:r>
              <w:rPr>
                <w:rFonts w:ascii="Calibri" w:hAnsi="Calibri"/>
                <w:b w:val="0"/>
                <w:color w:val="1F2937"/>
                <w:sz w:val="17"/>
              </w:rPr>
              <w:t>409 ACTIVE_SESSION_EXISTS; 422 VALIDATION_ERROR</w:t>
            </w:r>
          </w:p>
        </w:tc>
      </w:tr>
      <w:tr>
        <w:trPr>
          <w:cantSplit/>
        </w:trPr>
        <w:tc>
          <w:tcPr>
            <w:tcW w:type="dxa" w:w="15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List/get session</w:t>
            </w:r>
          </w:p>
        </w:tc>
        <w:tc>
          <w:tcPr>
            <w:tcW w:type="dxa" w:w="23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optional citizen_id/status filters or session_id</w:t>
            </w:r>
          </w:p>
        </w:tc>
        <w:tc>
          <w:tcPr>
            <w:tcW w:type="dxa" w:w="24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200; session list or resource</w:t>
            </w:r>
          </w:p>
        </w:tc>
        <w:tc>
          <w:tcPr>
            <w:tcW w:type="dxa" w:w="3160"/>
            <w:tcMar>
              <w:top w:w="80" w:type="dxa"/>
              <w:bottom w:w="80" w:type="dxa"/>
              <w:start w:w="120" w:type="dxa"/>
              <w:end w:w="120" w:type="dxa"/>
            </w:tcMar>
            <w:vAlign w:val="center"/>
          </w:tcPr>
          <w:p>
            <w:pPr>
              <w:spacing w:before="0" w:after="40" w:line="259" w:lineRule="auto"/>
            </w:pPr>
            <w:r/>
            <w:r>
              <w:rPr>
                <w:rFonts w:ascii="Calibri" w:hAnsi="Calibri"/>
                <w:b w:val="0"/>
                <w:color w:val="1F2937"/>
                <w:sz w:val="17"/>
              </w:rPr>
              <w:t>404 PARKING_SESSION_NOT_FOUND</w:t>
            </w:r>
          </w:p>
        </w:tc>
      </w:tr>
      <w:tr>
        <w:trPr>
          <w:cantSplit/>
        </w:trPr>
        <w:tc>
          <w:tcPr>
            <w:tcW w:type="dxa" w:w="15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End session</w:t>
            </w:r>
          </w:p>
        </w:tc>
        <w:tc>
          <w:tcPr>
            <w:tcW w:type="dxa" w:w="23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session_id; optional ended_at</w:t>
            </w:r>
          </w:p>
        </w:tc>
        <w:tc>
          <w:tcPr>
            <w:tcW w:type="dxa" w:w="24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200; completed/unpaid session with duration and amount</w:t>
            </w:r>
          </w:p>
        </w:tc>
        <w:tc>
          <w:tcPr>
            <w:tcW w:type="dxa" w:w="3160"/>
            <w:tcMar>
              <w:top w:w="80" w:type="dxa"/>
              <w:bottom w:w="80" w:type="dxa"/>
              <w:start w:w="120" w:type="dxa"/>
              <w:end w:w="120" w:type="dxa"/>
            </w:tcMar>
            <w:vAlign w:val="center"/>
          </w:tcPr>
          <w:p>
            <w:pPr>
              <w:spacing w:before="0" w:after="40" w:line="259" w:lineRule="auto"/>
            </w:pPr>
            <w:r/>
            <w:r>
              <w:rPr>
                <w:rFonts w:ascii="Calibri" w:hAnsi="Calibri"/>
                <w:b w:val="0"/>
                <w:color w:val="1F2937"/>
                <w:sz w:val="17"/>
              </w:rPr>
              <w:t>404 not found; 409 already ended; 400 invalid end time</w:t>
            </w:r>
          </w:p>
        </w:tc>
      </w:tr>
      <w:tr>
        <w:trPr>
          <w:cantSplit/>
        </w:trPr>
        <w:tc>
          <w:tcPr>
            <w:tcW w:type="dxa" w:w="15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Create payment</w:t>
            </w:r>
          </w:p>
        </w:tc>
        <w:tc>
          <w:tcPr>
            <w:tcW w:type="dxa" w:w="23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session_id; card or digital_wallet</w:t>
            </w:r>
          </w:p>
        </w:tc>
        <w:tc>
          <w:tcPr>
            <w:tcW w:type="dxa" w:w="24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201; completed ParkingPayment and paid session</w:t>
            </w:r>
          </w:p>
        </w:tc>
        <w:tc>
          <w:tcPr>
            <w:tcW w:type="dxa" w:w="3160"/>
            <w:tcMar>
              <w:top w:w="80" w:type="dxa"/>
              <w:bottom w:w="80" w:type="dxa"/>
              <w:start w:w="120" w:type="dxa"/>
              <w:end w:w="120" w:type="dxa"/>
            </w:tcMar>
            <w:vAlign w:val="center"/>
          </w:tcPr>
          <w:p>
            <w:pPr>
              <w:spacing w:before="0" w:after="40" w:line="259" w:lineRule="auto"/>
            </w:pPr>
            <w:r/>
            <w:r>
              <w:rPr>
                <w:rFonts w:ascii="Calibri" w:hAnsi="Calibri"/>
                <w:b w:val="0"/>
                <w:color w:val="1F2937"/>
                <w:sz w:val="17"/>
              </w:rPr>
              <w:t>404 not found; 409 not billable/already paid</w:t>
            </w:r>
          </w:p>
        </w:tc>
      </w:tr>
      <w:tr>
        <w:trPr>
          <w:cantSplit/>
        </w:trPr>
        <w:tc>
          <w:tcPr>
            <w:tcW w:type="dxa" w:w="15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Get payment/events</w:t>
            </w:r>
          </w:p>
        </w:tc>
        <w:tc>
          <w:tcPr>
            <w:tcW w:type="dxa" w:w="23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payment_id or session_id</w:t>
            </w:r>
          </w:p>
        </w:tc>
        <w:tc>
          <w:tcPr>
            <w:tcW w:type="dxa" w:w="24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200; payment or ordered ProcessEvent list</w:t>
            </w:r>
          </w:p>
        </w:tc>
        <w:tc>
          <w:tcPr>
            <w:tcW w:type="dxa" w:w="3160"/>
            <w:tcMar>
              <w:top w:w="80" w:type="dxa"/>
              <w:bottom w:w="80" w:type="dxa"/>
              <w:start w:w="120" w:type="dxa"/>
              <w:end w:w="120" w:type="dxa"/>
            </w:tcMar>
            <w:vAlign w:val="center"/>
          </w:tcPr>
          <w:p>
            <w:pPr>
              <w:spacing w:before="0" w:after="40" w:line="259" w:lineRule="auto"/>
            </w:pPr>
            <w:r/>
            <w:r>
              <w:rPr>
                <w:rFonts w:ascii="Calibri" w:hAnsi="Calibri"/>
                <w:b w:val="0"/>
                <w:color w:val="1F2937"/>
                <w:sz w:val="17"/>
              </w:rPr>
              <w:t>404 resource not found</w:t>
            </w:r>
          </w:p>
        </w:tc>
      </w:tr>
    </w:tbl>
    <w:p>
      <w:pPr>
        <w:spacing w:before="0" w:after="0" w:line="140" w:lineRule="exact"/>
      </w:pPr>
      <w:r/>
    </w:p>
    <w:p>
      <w:pPr>
        <w:pStyle w:val="Heading2"/>
        <w:keepNext/>
      </w:pPr>
      <w:r>
        <w:rPr>
          <w:rFonts w:ascii="Calibri" w:hAnsi="Calibri"/>
          <w:b/>
          <w:color w:val="2E74B5"/>
          <w:sz w:val="26"/>
        </w:rPr>
        <w:t>5.2 Key Steps and Fee Rule</w:t>
      </w:r>
    </w:p>
    <w:tbl>
      <w:tblPr>
        <w:tblStyle w:val="TableGrid"/>
        <w:tblW w:type="dxa" w:w="9360"/>
        <w:tblLook w:firstColumn="1" w:firstRow="1" w:lastColumn="0" w:lastRow="0" w:noHBand="0" w:noVBand="1" w:val="04A0"/>
        <w:tblInd w:w="120" w:type="dxa"/>
        <w:tblLayout w:type="fixed"/>
      </w:tblPr>
      <w:tblGrid>
        <w:gridCol w:w="700"/>
        <w:gridCol w:w="3300"/>
        <w:gridCol w:w="5360"/>
      </w:tblGrid>
      <w:tr>
        <w:trPr>
          <w:tblHeader w:val="true"/>
          <w:cantSplit/>
        </w:trPr>
        <w:tc>
          <w:tcPr>
            <w:tcW w:type="dxa" w:w="70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8"/>
              </w:rPr>
              <w:t>Step</w:t>
            </w:r>
          </w:p>
        </w:tc>
        <w:tc>
          <w:tcPr>
            <w:tcW w:type="dxa" w:w="330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8"/>
              </w:rPr>
              <w:t>Frozen activity</w:t>
            </w:r>
          </w:p>
        </w:tc>
        <w:tc>
          <w:tcPr>
            <w:tcW w:type="dxa" w:w="536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8"/>
              </w:rPr>
              <w:t>State/result</w:t>
            </w:r>
          </w:p>
        </w:tc>
      </w:tr>
      <w:tr>
        <w:trPr>
          <w:cantSplit/>
        </w:trPr>
        <w:tc>
          <w:tcPr>
            <w:tcW w:type="dxa" w:w="700"/>
            <w:tcMar>
              <w:top w:w="80" w:type="dxa"/>
              <w:bottom w:w="80" w:type="dxa"/>
              <w:start w:w="120" w:type="dxa"/>
              <w:end w:w="120" w:type="dxa"/>
            </w:tcMar>
            <w:vAlign w:val="center"/>
          </w:tcPr>
          <w:p>
            <w:pPr>
              <w:spacing w:before="0" w:after="40" w:line="259" w:lineRule="auto"/>
            </w:pPr>
            <w:r/>
            <w:r>
              <w:rPr>
                <w:rFonts w:ascii="Calibri" w:hAnsi="Calibri"/>
                <w:b w:val="0"/>
                <w:color w:val="1F2937"/>
                <w:sz w:val="18"/>
              </w:rPr>
              <w:t>1</w:t>
            </w:r>
          </w:p>
        </w:tc>
        <w:tc>
          <w:tcPr>
            <w:tcW w:type="dxa" w:w="3300"/>
            <w:tcMar>
              <w:top w:w="80" w:type="dxa"/>
              <w:bottom w:w="80" w:type="dxa"/>
              <w:start w:w="120" w:type="dxa"/>
              <w:end w:w="120" w:type="dxa"/>
            </w:tcMar>
            <w:vAlign w:val="center"/>
          </w:tcPr>
          <w:p>
            <w:pPr>
              <w:spacing w:before="0" w:after="40" w:line="259" w:lineRule="auto"/>
            </w:pPr>
            <w:r/>
            <w:r>
              <w:rPr>
                <w:rFonts w:ascii="Calibri" w:hAnsi="Calibri"/>
                <w:b w:val="0"/>
                <w:color w:val="1F2937"/>
                <w:sz w:val="18"/>
              </w:rPr>
              <w:t>Register Parking Entry</w:t>
            </w:r>
          </w:p>
        </w:tc>
        <w:tc>
          <w:tcPr>
            <w:tcW w:type="dxa" w:w="5360"/>
            <w:tcMar>
              <w:top w:w="80" w:type="dxa"/>
              <w:bottom w:w="80" w:type="dxa"/>
              <w:start w:w="120" w:type="dxa"/>
              <w:end w:w="120" w:type="dxa"/>
            </w:tcMar>
            <w:vAlign w:val="center"/>
          </w:tcPr>
          <w:p>
            <w:pPr>
              <w:spacing w:before="0" w:after="40" w:line="259" w:lineRule="auto"/>
            </w:pPr>
            <w:r/>
            <w:r>
              <w:rPr>
                <w:rFonts w:ascii="Calibri" w:hAnsi="Calibri"/>
                <w:b w:val="0"/>
                <w:color w:val="1F2937"/>
                <w:sz w:val="18"/>
              </w:rPr>
              <w:t>Create session: active/not_due.</w:t>
            </w:r>
          </w:p>
        </w:tc>
      </w:tr>
      <w:tr>
        <w:trPr>
          <w:cantSplit/>
        </w:trPr>
        <w:tc>
          <w:tcPr>
            <w:tcW w:type="dxa" w:w="700"/>
            <w:tcMar>
              <w:top w:w="80" w:type="dxa"/>
              <w:bottom w:w="80" w:type="dxa"/>
              <w:start w:w="120" w:type="dxa"/>
              <w:end w:w="120" w:type="dxa"/>
            </w:tcMar>
            <w:vAlign w:val="center"/>
          </w:tcPr>
          <w:p>
            <w:pPr>
              <w:spacing w:before="0" w:after="40" w:line="259" w:lineRule="auto"/>
            </w:pPr>
            <w:r/>
            <w:r>
              <w:rPr>
                <w:rFonts w:ascii="Calibri" w:hAnsi="Calibri"/>
                <w:b w:val="0"/>
                <w:color w:val="1F2937"/>
                <w:sz w:val="18"/>
              </w:rPr>
              <w:t>2</w:t>
            </w:r>
          </w:p>
        </w:tc>
        <w:tc>
          <w:tcPr>
            <w:tcW w:type="dxa" w:w="3300"/>
            <w:tcMar>
              <w:top w:w="80" w:type="dxa"/>
              <w:bottom w:w="80" w:type="dxa"/>
              <w:start w:w="120" w:type="dxa"/>
              <w:end w:w="120" w:type="dxa"/>
            </w:tcMar>
            <w:vAlign w:val="center"/>
          </w:tcPr>
          <w:p>
            <w:pPr>
              <w:spacing w:before="0" w:after="40" w:line="259" w:lineRule="auto"/>
            </w:pPr>
            <w:r/>
            <w:r>
              <w:rPr>
                <w:rFonts w:ascii="Calibri" w:hAnsi="Calibri"/>
                <w:b w:val="0"/>
                <w:color w:val="1F2937"/>
                <w:sz w:val="18"/>
              </w:rPr>
              <w:t>Close Parking Session</w:t>
            </w:r>
          </w:p>
        </w:tc>
        <w:tc>
          <w:tcPr>
            <w:tcW w:type="dxa" w:w="5360"/>
            <w:tcMar>
              <w:top w:w="80" w:type="dxa"/>
              <w:bottom w:w="80" w:type="dxa"/>
              <w:start w:w="120" w:type="dxa"/>
              <w:end w:w="120" w:type="dxa"/>
            </w:tcMar>
            <w:vAlign w:val="center"/>
          </w:tcPr>
          <w:p>
            <w:pPr>
              <w:spacing w:before="0" w:after="40" w:line="259" w:lineRule="auto"/>
            </w:pPr>
            <w:r/>
            <w:r>
              <w:rPr>
                <w:rFonts w:ascii="Calibri" w:hAnsi="Calibri"/>
                <w:b w:val="0"/>
                <w:color w:val="1F2937"/>
                <w:sz w:val="18"/>
              </w:rPr>
              <w:t>Record exit and duration; transition to completed.</w:t>
            </w:r>
          </w:p>
        </w:tc>
      </w:tr>
      <w:tr>
        <w:trPr>
          <w:cantSplit/>
        </w:trPr>
        <w:tc>
          <w:tcPr>
            <w:tcW w:type="dxa" w:w="700"/>
            <w:tcMar>
              <w:top w:w="80" w:type="dxa"/>
              <w:bottom w:w="80" w:type="dxa"/>
              <w:start w:w="120" w:type="dxa"/>
              <w:end w:w="120" w:type="dxa"/>
            </w:tcMar>
            <w:vAlign w:val="center"/>
          </w:tcPr>
          <w:p>
            <w:pPr>
              <w:spacing w:before="0" w:after="40" w:line="259" w:lineRule="auto"/>
            </w:pPr>
            <w:r/>
            <w:r>
              <w:rPr>
                <w:rFonts w:ascii="Calibri" w:hAnsi="Calibri"/>
                <w:b w:val="0"/>
                <w:color w:val="1F2937"/>
                <w:sz w:val="18"/>
              </w:rPr>
              <w:t>3</w:t>
            </w:r>
          </w:p>
        </w:tc>
        <w:tc>
          <w:tcPr>
            <w:tcW w:type="dxa" w:w="3300"/>
            <w:tcMar>
              <w:top w:w="80" w:type="dxa"/>
              <w:bottom w:w="80" w:type="dxa"/>
              <w:start w:w="120" w:type="dxa"/>
              <w:end w:w="120" w:type="dxa"/>
            </w:tcMar>
            <w:vAlign w:val="center"/>
          </w:tcPr>
          <w:p>
            <w:pPr>
              <w:spacing w:before="0" w:after="40" w:line="259" w:lineRule="auto"/>
            </w:pPr>
            <w:r/>
            <w:r>
              <w:rPr>
                <w:rFonts w:ascii="Calibri" w:hAnsi="Calibri"/>
                <w:b w:val="0"/>
                <w:color w:val="1F2937"/>
                <w:sz w:val="18"/>
              </w:rPr>
              <w:t>Calculate Parking Fee</w:t>
            </w:r>
          </w:p>
        </w:tc>
        <w:tc>
          <w:tcPr>
            <w:tcW w:type="dxa" w:w="5360"/>
            <w:tcMar>
              <w:top w:w="80" w:type="dxa"/>
              <w:bottom w:w="80" w:type="dxa"/>
              <w:start w:w="120" w:type="dxa"/>
              <w:end w:w="120" w:type="dxa"/>
            </w:tcMar>
            <w:vAlign w:val="center"/>
          </w:tcPr>
          <w:p>
            <w:pPr>
              <w:spacing w:before="0" w:after="40" w:line="259" w:lineRule="auto"/>
            </w:pPr>
            <w:r/>
            <w:r>
              <w:rPr>
                <w:rFonts w:ascii="Calibri" w:hAnsi="Calibri"/>
                <w:b w:val="0"/>
                <w:color w:val="1F2937"/>
                <w:sz w:val="18"/>
              </w:rPr>
              <w:t>Set amount_minor and payment_status = unpaid.</w:t>
            </w:r>
          </w:p>
        </w:tc>
      </w:tr>
      <w:tr>
        <w:trPr>
          <w:cantSplit/>
        </w:trPr>
        <w:tc>
          <w:tcPr>
            <w:tcW w:type="dxa" w:w="700"/>
            <w:tcMar>
              <w:top w:w="80" w:type="dxa"/>
              <w:bottom w:w="80" w:type="dxa"/>
              <w:start w:w="120" w:type="dxa"/>
              <w:end w:w="120" w:type="dxa"/>
            </w:tcMar>
            <w:vAlign w:val="center"/>
          </w:tcPr>
          <w:p>
            <w:pPr>
              <w:spacing w:before="0" w:after="40" w:line="259" w:lineRule="auto"/>
            </w:pPr>
            <w:r/>
            <w:r>
              <w:rPr>
                <w:rFonts w:ascii="Calibri" w:hAnsi="Calibri"/>
                <w:b w:val="0"/>
                <w:color w:val="1F2937"/>
                <w:sz w:val="18"/>
              </w:rPr>
              <w:t>4</w:t>
            </w:r>
          </w:p>
        </w:tc>
        <w:tc>
          <w:tcPr>
            <w:tcW w:type="dxa" w:w="3300"/>
            <w:tcMar>
              <w:top w:w="80" w:type="dxa"/>
              <w:bottom w:w="80" w:type="dxa"/>
              <w:start w:w="120" w:type="dxa"/>
              <w:end w:w="120" w:type="dxa"/>
            </w:tcMar>
            <w:vAlign w:val="center"/>
          </w:tcPr>
          <w:p>
            <w:pPr>
              <w:spacing w:before="0" w:after="40" w:line="259" w:lineRule="auto"/>
            </w:pPr>
            <w:r/>
            <w:r>
              <w:rPr>
                <w:rFonts w:ascii="Calibri" w:hAnsi="Calibri"/>
                <w:b w:val="0"/>
                <w:color w:val="1F2937"/>
                <w:sz w:val="18"/>
              </w:rPr>
              <w:t>Initiate Payment</w:t>
            </w:r>
          </w:p>
        </w:tc>
        <w:tc>
          <w:tcPr>
            <w:tcW w:type="dxa" w:w="5360"/>
            <w:tcMar>
              <w:top w:w="80" w:type="dxa"/>
              <w:bottom w:w="80" w:type="dxa"/>
              <w:start w:w="120" w:type="dxa"/>
              <w:end w:w="120" w:type="dxa"/>
            </w:tcMar>
            <w:vAlign w:val="center"/>
          </w:tcPr>
          <w:p>
            <w:pPr>
              <w:spacing w:before="0" w:after="40" w:line="259" w:lineRule="auto"/>
            </w:pPr>
            <w:r/>
            <w:r>
              <w:rPr>
                <w:rFonts w:ascii="Calibri" w:hAnsi="Calibri"/>
                <w:b w:val="0"/>
                <w:color w:val="1F2937"/>
                <w:sz w:val="18"/>
              </w:rPr>
              <w:t>Start payment for an ended, unpaid session.</w:t>
            </w:r>
          </w:p>
        </w:tc>
      </w:tr>
      <w:tr>
        <w:trPr>
          <w:cantSplit/>
        </w:trPr>
        <w:tc>
          <w:tcPr>
            <w:tcW w:type="dxa" w:w="700"/>
            <w:tcMar>
              <w:top w:w="80" w:type="dxa"/>
              <w:bottom w:w="80" w:type="dxa"/>
              <w:start w:w="120" w:type="dxa"/>
              <w:end w:w="120" w:type="dxa"/>
            </w:tcMar>
            <w:vAlign w:val="center"/>
          </w:tcPr>
          <w:p>
            <w:pPr>
              <w:spacing w:before="0" w:after="40" w:line="259" w:lineRule="auto"/>
            </w:pPr>
            <w:r/>
            <w:r>
              <w:rPr>
                <w:rFonts w:ascii="Calibri" w:hAnsi="Calibri"/>
                <w:b w:val="0"/>
                <w:color w:val="1F2937"/>
                <w:sz w:val="18"/>
              </w:rPr>
              <w:t>5</w:t>
            </w:r>
          </w:p>
        </w:tc>
        <w:tc>
          <w:tcPr>
            <w:tcW w:type="dxa" w:w="3300"/>
            <w:tcMar>
              <w:top w:w="80" w:type="dxa"/>
              <w:bottom w:w="80" w:type="dxa"/>
              <w:start w:w="120" w:type="dxa"/>
              <w:end w:w="120" w:type="dxa"/>
            </w:tcMar>
            <w:vAlign w:val="center"/>
          </w:tcPr>
          <w:p>
            <w:pPr>
              <w:spacing w:before="0" w:after="40" w:line="259" w:lineRule="auto"/>
            </w:pPr>
            <w:r/>
            <w:r>
              <w:rPr>
                <w:rFonts w:ascii="Calibri" w:hAnsi="Calibri"/>
                <w:b w:val="0"/>
                <w:color w:val="1F2937"/>
                <w:sz w:val="18"/>
              </w:rPr>
              <w:t>Confirm Payment</w:t>
            </w:r>
          </w:p>
        </w:tc>
        <w:tc>
          <w:tcPr>
            <w:tcW w:type="dxa" w:w="5360"/>
            <w:tcMar>
              <w:top w:w="80" w:type="dxa"/>
              <w:bottom w:w="80" w:type="dxa"/>
              <w:start w:w="120" w:type="dxa"/>
              <w:end w:w="120" w:type="dxa"/>
            </w:tcMar>
            <w:vAlign w:val="center"/>
          </w:tcPr>
          <w:p>
            <w:pPr>
              <w:spacing w:before="0" w:after="40" w:line="259" w:lineRule="auto"/>
            </w:pPr>
            <w:r/>
            <w:r>
              <w:rPr>
                <w:rFonts w:ascii="Calibri" w:hAnsi="Calibri"/>
                <w:b w:val="0"/>
                <w:color w:val="1F2937"/>
                <w:sz w:val="18"/>
              </w:rPr>
              <w:t>Create payment; set payment_status = paid.</w:t>
            </w:r>
          </w:p>
        </w:tc>
      </w:tr>
      <w:tr>
        <w:trPr>
          <w:cantSplit/>
        </w:trPr>
        <w:tc>
          <w:tcPr>
            <w:tcW w:type="dxa" w:w="700"/>
            <w:tcMar>
              <w:top w:w="80" w:type="dxa"/>
              <w:bottom w:w="80" w:type="dxa"/>
              <w:start w:w="120" w:type="dxa"/>
              <w:end w:w="120" w:type="dxa"/>
            </w:tcMar>
            <w:vAlign w:val="center"/>
          </w:tcPr>
          <w:p>
            <w:pPr>
              <w:spacing w:before="0" w:after="40" w:line="259" w:lineRule="auto"/>
            </w:pPr>
            <w:r/>
            <w:r>
              <w:rPr>
                <w:rFonts w:ascii="Calibri" w:hAnsi="Calibri"/>
                <w:b w:val="0"/>
                <w:color w:val="1F2937"/>
                <w:sz w:val="18"/>
              </w:rPr>
              <w:t>5E</w:t>
            </w:r>
          </w:p>
        </w:tc>
        <w:tc>
          <w:tcPr>
            <w:tcW w:type="dxa" w:w="3300"/>
            <w:tcMar>
              <w:top w:w="80" w:type="dxa"/>
              <w:bottom w:w="80" w:type="dxa"/>
              <w:start w:w="120" w:type="dxa"/>
              <w:end w:w="120" w:type="dxa"/>
            </w:tcMar>
            <w:vAlign w:val="center"/>
          </w:tcPr>
          <w:p>
            <w:pPr>
              <w:spacing w:before="0" w:after="40" w:line="259" w:lineRule="auto"/>
            </w:pPr>
            <w:r/>
            <w:r>
              <w:rPr>
                <w:rFonts w:ascii="Calibri" w:hAnsi="Calibri"/>
                <w:b w:val="0"/>
                <w:color w:val="1F2937"/>
                <w:sz w:val="18"/>
              </w:rPr>
              <w:t>Reject Payment</w:t>
            </w:r>
          </w:p>
        </w:tc>
        <w:tc>
          <w:tcPr>
            <w:tcW w:type="dxa" w:w="5360"/>
            <w:tcMar>
              <w:top w:w="80" w:type="dxa"/>
              <w:bottom w:w="80" w:type="dxa"/>
              <w:start w:w="120" w:type="dxa"/>
              <w:end w:w="120" w:type="dxa"/>
            </w:tcMar>
            <w:vAlign w:val="center"/>
          </w:tcPr>
          <w:p>
            <w:pPr>
              <w:spacing w:before="0" w:after="40" w:line="259" w:lineRule="auto"/>
            </w:pPr>
            <w:r/>
            <w:r>
              <w:rPr>
                <w:rFonts w:ascii="Calibri" w:hAnsi="Calibri"/>
                <w:b w:val="0"/>
                <w:color w:val="1F2937"/>
                <w:sz w:val="18"/>
              </w:rPr>
              <w:t>Simulated exceptional analysis path; session remains unpaid.</w:t>
            </w:r>
          </w:p>
        </w:tc>
      </w:tr>
    </w:tbl>
    <w:p>
      <w:pPr>
        <w:spacing w:before="0" w:after="0" w:line="140" w:lineRule="exact"/>
      </w:pPr>
      <w:r/>
    </w:p>
    <w:tbl>
      <w:tblPr>
        <w:tblStyle w:val="TableGrid"/>
        <w:tblW w:type="dxa" w:w="9360"/>
        <w:tblLook w:firstColumn="1" w:firstRow="1" w:lastColumn="0" w:lastRow="0" w:noHBand="0" w:noVBand="1" w:val="04A0"/>
        <w:tblInd w:w="120" w:type="dxa"/>
        <w:tblLayout w:type="fixed"/>
      </w:tblPr>
      <w:tblGrid>
        <w:gridCol w:w="9360"/>
      </w:tblGrid>
      <w:tr>
        <w:trPr>
          <w:cantSplit/>
        </w:trPr>
        <w:tc>
          <w:tcPr>
            <w:tcW w:type="dxa" w:w="9360"/>
            <w:shd w:fill="F2F4F7"/>
            <w:tcMar>
              <w:top w:w="80" w:type="dxa"/>
              <w:bottom w:w="80" w:type="dxa"/>
              <w:start w:w="120" w:type="dxa"/>
              <w:end w:w="120" w:type="dxa"/>
            </w:tcMar>
            <w:vAlign w:val="center"/>
          </w:tcPr>
          <w:p>
            <w:pPr>
              <w:spacing w:before="40" w:after="40" w:line="240" w:lineRule="auto"/>
            </w:pPr>
            <w:r/>
            <w:r>
              <w:rPr>
                <w:rFonts w:ascii="Calibri" w:hAnsi="Calibri"/>
                <w:b/>
                <w:color w:val="18364B"/>
                <w:sz w:val="18"/>
              </w:rPr>
              <w:t xml:space="preserve">Pricing  </w:t>
            </w:r>
            <w:r>
              <w:rPr>
                <w:rFonts w:ascii="Consolas" w:hAnsi="Consolas"/>
                <w:color w:val="1F2937"/>
                <w:sz w:val="18"/>
              </w:rPr>
              <w:t>duration_minutes = max(1, ceil((ended_at - started_at)/60 seconds)); billed_hours = ceil(duration_minutes/60); amount_minor = min(billed_hours * 400, 4000); currency = AUD</w:t>
            </w:r>
          </w:p>
        </w:tc>
      </w:tr>
    </w:tbl>
    <w:p>
      <w:pPr>
        <w:spacing w:before="0" w:after="0" w:line="140" w:lineRule="exact"/>
      </w:pPr>
      <w:r/>
    </w:p>
    <w:p>
      <w:r>
        <w:br w:type="page"/>
      </w:r>
    </w:p>
    <w:p>
      <w:pPr>
        <w:pStyle w:val="Heading2"/>
        <w:keepNext/>
      </w:pPr>
      <w:r>
        <w:rPr>
          <w:rFonts w:ascii="Calibri" w:hAnsi="Calibri"/>
          <w:b/>
          <w:color w:val="2E74B5"/>
          <w:sz w:val="26"/>
        </w:rPr>
        <w:t>5.3 QoS, Delivery and Contractual Factors</w:t>
      </w:r>
    </w:p>
    <w:tbl>
      <w:tblPr>
        <w:tblStyle w:val="TableGrid"/>
        <w:tblW w:type="dxa" w:w="9360"/>
        <w:tblLook w:firstColumn="1" w:firstRow="1" w:lastColumn="0" w:lastRow="0" w:noHBand="0" w:noVBand="1" w:val="04A0"/>
        <w:tblInd w:w="120" w:type="dxa"/>
        <w:tblLayout w:type="fixed"/>
      </w:tblPr>
      <w:tblGrid>
        <w:gridCol w:w="2250"/>
        <w:gridCol w:w="7110"/>
      </w:tblGrid>
      <w:tr>
        <w:trPr>
          <w:tblHeader w:val="true"/>
          <w:cantSplit/>
        </w:trPr>
        <w:tc>
          <w:tcPr>
            <w:tcW w:type="dxa" w:w="225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7"/>
              </w:rPr>
              <w:t>Factor</w:t>
            </w:r>
          </w:p>
        </w:tc>
        <w:tc>
          <w:tcPr>
            <w:tcW w:type="dxa" w:w="711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7"/>
              </w:rPr>
              <w:t>Constraint</w:t>
            </w:r>
          </w:p>
        </w:tc>
      </w:tr>
      <w:tr>
        <w:trPr>
          <w:cantSplit/>
        </w:trPr>
        <w:tc>
          <w:tcPr>
            <w:tcW w:type="dxa" w:w="2250"/>
            <w:tcMar>
              <w:top w:w="80" w:type="dxa"/>
              <w:bottom w:w="80" w:type="dxa"/>
              <w:start w:w="120" w:type="dxa"/>
              <w:end w:w="120" w:type="dxa"/>
            </w:tcMar>
            <w:vAlign w:val="center"/>
          </w:tcPr>
          <w:p>
            <w:pPr>
              <w:spacing w:before="0" w:after="40" w:line="259" w:lineRule="auto"/>
            </w:pPr>
            <w:r/>
            <w:r>
              <w:rPr>
                <w:rFonts w:ascii="Calibri" w:hAnsi="Calibri"/>
                <w:b w:val="0"/>
                <w:color w:val="1F2937"/>
                <w:sz w:val="17"/>
              </w:rPr>
              <w:t>State integrity</w:t>
            </w:r>
          </w:p>
        </w:tc>
        <w:tc>
          <w:tcPr>
            <w:tcW w:type="dxa" w:w="7110"/>
            <w:tcMar>
              <w:top w:w="80" w:type="dxa"/>
              <w:bottom w:w="80" w:type="dxa"/>
              <w:start w:w="120" w:type="dxa"/>
              <w:end w:w="120" w:type="dxa"/>
            </w:tcMar>
            <w:vAlign w:val="center"/>
          </w:tcPr>
          <w:p>
            <w:pPr>
              <w:spacing w:before="0" w:after="40" w:line="259" w:lineRule="auto"/>
            </w:pPr>
            <w:r/>
            <w:r>
              <w:rPr>
                <w:rFonts w:ascii="Calibri" w:hAnsi="Calibri"/>
                <w:b w:val="0"/>
                <w:color w:val="1F2937"/>
                <w:sz w:val="17"/>
              </w:rPr>
              <w:t>At most one active session per normalized vehicle plate; allowed lifecycle is active/not_due -&gt; completed/unpaid -&gt; completed/paid.</w:t>
            </w:r>
          </w:p>
        </w:tc>
      </w:tr>
      <w:tr>
        <w:trPr>
          <w:cantSplit/>
        </w:trPr>
        <w:tc>
          <w:tcPr>
            <w:tcW w:type="dxa" w:w="2250"/>
            <w:tcMar>
              <w:top w:w="80" w:type="dxa"/>
              <w:bottom w:w="80" w:type="dxa"/>
              <w:start w:w="120" w:type="dxa"/>
              <w:end w:w="120" w:type="dxa"/>
            </w:tcMar>
            <w:vAlign w:val="center"/>
          </w:tcPr>
          <w:p>
            <w:pPr>
              <w:spacing w:before="0" w:after="40" w:line="259" w:lineRule="auto"/>
            </w:pPr>
            <w:r/>
            <w:r>
              <w:rPr>
                <w:rFonts w:ascii="Calibri" w:hAnsi="Calibri"/>
                <w:b w:val="0"/>
                <w:color w:val="1F2937"/>
                <w:sz w:val="17"/>
              </w:rPr>
              <w:t>Monetary integrity</w:t>
            </w:r>
          </w:p>
        </w:tc>
        <w:tc>
          <w:tcPr>
            <w:tcW w:type="dxa" w:w="7110"/>
            <w:tcMar>
              <w:top w:w="80" w:type="dxa"/>
              <w:bottom w:w="80" w:type="dxa"/>
              <w:start w:w="120" w:type="dxa"/>
              <w:end w:w="120" w:type="dxa"/>
            </w:tcMar>
            <w:vAlign w:val="center"/>
          </w:tcPr>
          <w:p>
            <w:pPr>
              <w:spacing w:before="0" w:after="40" w:line="259" w:lineRule="auto"/>
            </w:pPr>
            <w:r/>
            <w:r>
              <w:rPr>
                <w:rFonts w:ascii="Calibri" w:hAnsi="Calibri"/>
                <w:b w:val="0"/>
                <w:color w:val="1F2937"/>
                <w:sz w:val="17"/>
              </w:rPr>
              <w:t>Amounts use integer minor units; currency is AUD; rate is 400 cents per started hour; cap is 4000 cents per session.</w:t>
            </w:r>
          </w:p>
        </w:tc>
      </w:tr>
      <w:tr>
        <w:trPr>
          <w:cantSplit/>
        </w:trPr>
        <w:tc>
          <w:tcPr>
            <w:tcW w:type="dxa" w:w="2250"/>
            <w:tcMar>
              <w:top w:w="80" w:type="dxa"/>
              <w:bottom w:w="80" w:type="dxa"/>
              <w:start w:w="120" w:type="dxa"/>
              <w:end w:w="120" w:type="dxa"/>
            </w:tcMar>
            <w:vAlign w:val="center"/>
          </w:tcPr>
          <w:p>
            <w:pPr>
              <w:spacing w:before="0" w:after="40" w:line="259" w:lineRule="auto"/>
            </w:pPr>
            <w:r/>
            <w:r>
              <w:rPr>
                <w:rFonts w:ascii="Calibri" w:hAnsi="Calibri"/>
                <w:b w:val="0"/>
                <w:color w:val="1F2937"/>
                <w:sz w:val="17"/>
              </w:rPr>
              <w:t>Temporal integrity</w:t>
            </w:r>
          </w:p>
        </w:tc>
        <w:tc>
          <w:tcPr>
            <w:tcW w:type="dxa" w:w="7110"/>
            <w:tcMar>
              <w:top w:w="80" w:type="dxa"/>
              <w:bottom w:w="80" w:type="dxa"/>
              <w:start w:w="120" w:type="dxa"/>
              <w:end w:w="120" w:type="dxa"/>
            </w:tcMar>
            <w:vAlign w:val="center"/>
          </w:tcPr>
          <w:p>
            <w:pPr>
              <w:spacing w:before="0" w:after="40" w:line="259" w:lineRule="auto"/>
            </w:pPr>
            <w:r/>
            <w:r>
              <w:rPr>
                <w:rFonts w:ascii="Calibri" w:hAnsi="Calibri"/>
                <w:b w:val="0"/>
                <w:color w:val="1F2937"/>
                <w:sz w:val="17"/>
              </w:rPr>
              <w:t>ended_at &gt; started_at; duration is rounded up to at least one minute; timestamps are UTC.</w:t>
            </w:r>
          </w:p>
        </w:tc>
      </w:tr>
      <w:tr>
        <w:trPr>
          <w:cantSplit/>
        </w:trPr>
        <w:tc>
          <w:tcPr>
            <w:tcW w:type="dxa" w:w="2250"/>
            <w:tcMar>
              <w:top w:w="80" w:type="dxa"/>
              <w:bottom w:w="80" w:type="dxa"/>
              <w:start w:w="120" w:type="dxa"/>
              <w:end w:w="120" w:type="dxa"/>
            </w:tcMar>
            <w:vAlign w:val="center"/>
          </w:tcPr>
          <w:p>
            <w:pPr>
              <w:spacing w:before="0" w:after="40" w:line="259" w:lineRule="auto"/>
            </w:pPr>
            <w:r/>
            <w:r>
              <w:rPr>
                <w:rFonts w:ascii="Calibri" w:hAnsi="Calibri"/>
                <w:b w:val="0"/>
                <w:color w:val="1F2937"/>
                <w:sz w:val="17"/>
              </w:rPr>
              <w:t>Idempotency protection</w:t>
            </w:r>
          </w:p>
        </w:tc>
        <w:tc>
          <w:tcPr>
            <w:tcW w:type="dxa" w:w="7110"/>
            <w:tcMar>
              <w:top w:w="80" w:type="dxa"/>
              <w:bottom w:w="80" w:type="dxa"/>
              <w:start w:w="120" w:type="dxa"/>
              <w:end w:w="120" w:type="dxa"/>
            </w:tcMar>
            <w:vAlign w:val="center"/>
          </w:tcPr>
          <w:p>
            <w:pPr>
              <w:spacing w:before="0" w:after="40" w:line="259" w:lineRule="auto"/>
            </w:pPr>
            <w:r/>
            <w:r>
              <w:rPr>
                <w:rFonts w:ascii="Calibri" w:hAnsi="Calibri"/>
                <w:b w:val="0"/>
                <w:color w:val="1F2937"/>
                <w:sz w:val="17"/>
              </w:rPr>
              <w:t>A completed session cannot be ended again and a paid session cannot be paid again.</w:t>
            </w:r>
          </w:p>
        </w:tc>
      </w:tr>
      <w:tr>
        <w:trPr>
          <w:cantSplit/>
        </w:trPr>
        <w:tc>
          <w:tcPr>
            <w:tcW w:type="dxa" w:w="2250"/>
            <w:tcMar>
              <w:top w:w="80" w:type="dxa"/>
              <w:bottom w:w="80" w:type="dxa"/>
              <w:start w:w="120" w:type="dxa"/>
              <w:end w:w="120" w:type="dxa"/>
            </w:tcMar>
            <w:vAlign w:val="center"/>
          </w:tcPr>
          <w:p>
            <w:pPr>
              <w:spacing w:before="0" w:after="40" w:line="259" w:lineRule="auto"/>
            </w:pPr>
            <w:r/>
            <w:r>
              <w:rPr>
                <w:rFonts w:ascii="Calibri" w:hAnsi="Calibri"/>
                <w:b w:val="0"/>
                <w:color w:val="1F2937"/>
                <w:sz w:val="17"/>
              </w:rPr>
              <w:t>Auditability</w:t>
            </w:r>
          </w:p>
        </w:tc>
        <w:tc>
          <w:tcPr>
            <w:tcW w:type="dxa" w:w="7110"/>
            <w:tcMar>
              <w:top w:w="80" w:type="dxa"/>
              <w:bottom w:w="80" w:type="dxa"/>
              <w:start w:w="120" w:type="dxa"/>
              <w:end w:w="120" w:type="dxa"/>
            </w:tcMar>
            <w:vAlign w:val="center"/>
          </w:tcPr>
          <w:p>
            <w:pPr>
              <w:spacing w:before="0" w:after="40" w:line="259" w:lineRule="auto"/>
            </w:pPr>
            <w:r/>
            <w:r>
              <w:rPr>
                <w:rFonts w:ascii="Calibri" w:hAnsi="Calibri"/>
                <w:b w:val="0"/>
                <w:color w:val="1F2937"/>
                <w:sz w:val="17"/>
              </w:rPr>
              <w:t>Runtime normal-path events use case_id = session_id, lifecycle = complete and the frozen activity names.</w:t>
            </w:r>
          </w:p>
        </w:tc>
      </w:tr>
      <w:tr>
        <w:trPr>
          <w:cantSplit/>
        </w:trPr>
        <w:tc>
          <w:tcPr>
            <w:tcW w:type="dxa" w:w="2250"/>
            <w:tcMar>
              <w:top w:w="80" w:type="dxa"/>
              <w:bottom w:w="80" w:type="dxa"/>
              <w:start w:w="120" w:type="dxa"/>
              <w:end w:w="120" w:type="dxa"/>
            </w:tcMar>
            <w:vAlign w:val="center"/>
          </w:tcPr>
          <w:p>
            <w:pPr>
              <w:spacing w:before="0" w:after="40" w:line="259" w:lineRule="auto"/>
            </w:pPr>
            <w:r/>
            <w:r>
              <w:rPr>
                <w:rFonts w:ascii="Calibri" w:hAnsi="Calibri"/>
                <w:b w:val="0"/>
                <w:color w:val="1F2937"/>
                <w:sz w:val="17"/>
              </w:rPr>
              <w:t>Delivery schedule</w:t>
            </w:r>
          </w:p>
        </w:tc>
        <w:tc>
          <w:tcPr>
            <w:tcW w:type="dxa" w:w="7110"/>
            <w:tcMar>
              <w:top w:w="80" w:type="dxa"/>
              <w:bottom w:w="80" w:type="dxa"/>
              <w:start w:w="120" w:type="dxa"/>
              <w:end w:w="120" w:type="dxa"/>
            </w:tcMar>
            <w:vAlign w:val="center"/>
          </w:tcPr>
          <w:p>
            <w:pPr>
              <w:spacing w:before="0" w:after="40" w:line="259" w:lineRule="auto"/>
            </w:pPr>
            <w:r/>
            <w:r>
              <w:rPr>
                <w:rFonts w:ascii="Calibri" w:hAnsi="Calibri"/>
                <w:b w:val="0"/>
                <w:color w:val="1F2937"/>
                <w:sz w:val="17"/>
              </w:rPr>
              <w:t>Synchronous request/response. Optional omitted timestamps are replaced with current UTC service time.</w:t>
            </w:r>
          </w:p>
        </w:tc>
      </w:tr>
      <w:tr>
        <w:trPr>
          <w:cantSplit/>
        </w:trPr>
        <w:tc>
          <w:tcPr>
            <w:tcW w:type="dxa" w:w="2250"/>
            <w:tcMar>
              <w:top w:w="80" w:type="dxa"/>
              <w:bottom w:w="80" w:type="dxa"/>
              <w:start w:w="120" w:type="dxa"/>
              <w:end w:w="120" w:type="dxa"/>
            </w:tcMar>
            <w:vAlign w:val="center"/>
          </w:tcPr>
          <w:p>
            <w:pPr>
              <w:spacing w:before="0" w:after="40" w:line="259" w:lineRule="auto"/>
            </w:pPr>
            <w:r/>
            <w:r>
              <w:rPr>
                <w:rFonts w:ascii="Calibri" w:hAnsi="Calibri"/>
                <w:b w:val="0"/>
                <w:color w:val="1F2937"/>
                <w:sz w:val="17"/>
              </w:rPr>
              <w:t>Contract</w:t>
            </w:r>
          </w:p>
        </w:tc>
        <w:tc>
          <w:tcPr>
            <w:tcW w:type="dxa" w:w="7110"/>
            <w:tcMar>
              <w:top w:w="80" w:type="dxa"/>
              <w:bottom w:w="80" w:type="dxa"/>
              <w:start w:w="120" w:type="dxa"/>
              <w:end w:w="120" w:type="dxa"/>
            </w:tcMar>
            <w:vAlign w:val="center"/>
          </w:tcPr>
          <w:p>
            <w:pPr>
              <w:spacing w:before="0" w:after="40" w:line="259" w:lineRule="auto"/>
            </w:pPr>
            <w:r/>
            <w:r>
              <w:rPr>
                <w:rFonts w:ascii="Calibri" w:hAnsi="Calibri"/>
                <w:b w:val="0"/>
                <w:color w:val="1F2937"/>
                <w:sz w:val="17"/>
              </w:rPr>
              <w:t>REST/JSON under /api/v1; independent storage; default service port 8302; stable 200/201/400/404/409/422 outcomes.</w:t>
            </w:r>
          </w:p>
        </w:tc>
      </w:tr>
      <w:tr>
        <w:trPr>
          <w:cantSplit/>
        </w:trPr>
        <w:tc>
          <w:tcPr>
            <w:tcW w:type="dxa" w:w="2250"/>
            <w:tcMar>
              <w:top w:w="80" w:type="dxa"/>
              <w:bottom w:w="80" w:type="dxa"/>
              <w:start w:w="120" w:type="dxa"/>
              <w:end w:w="120" w:type="dxa"/>
            </w:tcMar>
            <w:vAlign w:val="center"/>
          </w:tcPr>
          <w:p>
            <w:pPr>
              <w:spacing w:before="0" w:after="40" w:line="259" w:lineRule="auto"/>
            </w:pPr>
            <w:r/>
            <w:r>
              <w:rPr>
                <w:rFonts w:ascii="Calibri" w:hAnsi="Calibri"/>
                <w:b w:val="0"/>
                <w:color w:val="1F2937"/>
                <w:sz w:val="17"/>
              </w:rPr>
              <w:t>Penalty</w:t>
            </w:r>
          </w:p>
        </w:tc>
        <w:tc>
          <w:tcPr>
            <w:tcW w:type="dxa" w:w="7110"/>
            <w:tcMar>
              <w:top w:w="80" w:type="dxa"/>
              <w:bottom w:w="80" w:type="dxa"/>
              <w:start w:w="120" w:type="dxa"/>
              <w:end w:w="120" w:type="dxa"/>
            </w:tcMar>
            <w:vAlign w:val="center"/>
          </w:tcPr>
          <w:p>
            <w:pPr>
              <w:spacing w:before="0" w:after="40" w:line="259" w:lineRule="auto"/>
            </w:pPr>
            <w:r/>
            <w:r>
              <w:rPr>
                <w:rFonts w:ascii="Calibri" w:hAnsi="Calibri"/>
                <w:b w:val="0"/>
                <w:color w:val="1F2937"/>
                <w:sz w:val="17"/>
              </w:rPr>
              <w:t>Not applicable in the prototype; invalid transitions are rejected and do not create a valid payment.</w:t>
            </w:r>
          </w:p>
        </w:tc>
      </w:tr>
    </w:tbl>
    <w:p>
      <w:pPr>
        <w:spacing w:before="0" w:after="0" w:line="140" w:lineRule="exact"/>
      </w:pPr>
      <w:r/>
    </w:p>
    <w:p>
      <w:pPr>
        <w:pStyle w:val="Heading2"/>
        <w:keepNext/>
      </w:pPr>
      <w:r>
        <w:rPr>
          <w:rFonts w:ascii="Calibri" w:hAnsi="Calibri"/>
          <w:b/>
          <w:color w:val="2E74B5"/>
          <w:sz w:val="26"/>
        </w:rPr>
        <w:t>5.4 Process Event Contract</w:t>
      </w:r>
    </w:p>
    <w:tbl>
      <w:tblPr>
        <w:tblStyle w:val="TableGrid"/>
        <w:tblW w:type="dxa" w:w="9360"/>
        <w:tblLook w:firstColumn="1" w:firstRow="1" w:lastColumn="0" w:lastRow="0" w:noHBand="0" w:noVBand="1" w:val="04A0"/>
        <w:tblInd w:w="120" w:type="dxa"/>
        <w:tblLayout w:type="fixed"/>
      </w:tblPr>
      <w:tblGrid>
        <w:gridCol w:w="1900"/>
        <w:gridCol w:w="3150"/>
        <w:gridCol w:w="4310"/>
      </w:tblGrid>
      <w:tr>
        <w:trPr>
          <w:tblHeader w:val="true"/>
          <w:cantSplit/>
        </w:trPr>
        <w:tc>
          <w:tcPr>
            <w:tcW w:type="dxa" w:w="190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7"/>
              </w:rPr>
              <w:t>Field</w:t>
            </w:r>
          </w:p>
        </w:tc>
        <w:tc>
          <w:tcPr>
            <w:tcW w:type="dxa" w:w="315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7"/>
              </w:rPr>
              <w:t>Runtime meaning</w:t>
            </w:r>
          </w:p>
        </w:tc>
        <w:tc>
          <w:tcPr>
            <w:tcW w:type="dxa" w:w="431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7"/>
              </w:rPr>
              <w:t>Required value/relationship</w:t>
            </w:r>
          </w:p>
        </w:tc>
      </w:tr>
      <w:tr>
        <w:trPr>
          <w:cantSplit/>
        </w:trPr>
        <w:tc>
          <w:tcPr>
            <w:tcW w:type="dxa" w:w="19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case_id</w:t>
            </w:r>
          </w:p>
        </w:tc>
        <w:tc>
          <w:tcPr>
            <w:tcW w:type="dxa" w:w="3150"/>
            <w:tcMar>
              <w:top w:w="80" w:type="dxa"/>
              <w:bottom w:w="80" w:type="dxa"/>
              <w:start w:w="120" w:type="dxa"/>
              <w:end w:w="120" w:type="dxa"/>
            </w:tcMar>
            <w:vAlign w:val="center"/>
          </w:tcPr>
          <w:p>
            <w:pPr>
              <w:spacing w:before="0" w:after="40" w:line="259" w:lineRule="auto"/>
            </w:pPr>
            <w:r/>
            <w:r>
              <w:rPr>
                <w:rFonts w:ascii="Calibri" w:hAnsi="Calibri"/>
                <w:b w:val="0"/>
                <w:color w:val="1F2937"/>
                <w:sz w:val="17"/>
              </w:rPr>
              <w:t>One process instance</w:t>
            </w:r>
          </w:p>
        </w:tc>
        <w:tc>
          <w:tcPr>
            <w:tcW w:type="dxa" w:w="4310"/>
            <w:tcMar>
              <w:top w:w="80" w:type="dxa"/>
              <w:bottom w:w="80" w:type="dxa"/>
              <w:start w:w="120" w:type="dxa"/>
              <w:end w:w="120" w:type="dxa"/>
            </w:tcMar>
            <w:vAlign w:val="center"/>
          </w:tcPr>
          <w:p>
            <w:pPr>
              <w:spacing w:before="0" w:after="40" w:line="259" w:lineRule="auto"/>
            </w:pPr>
            <w:r/>
            <w:r>
              <w:rPr>
                <w:rFonts w:ascii="Calibri" w:hAnsi="Calibri"/>
                <w:b w:val="0"/>
                <w:color w:val="1F2937"/>
                <w:sz w:val="17"/>
              </w:rPr>
              <w:t>Equals the parking session_id.</w:t>
            </w:r>
          </w:p>
        </w:tc>
      </w:tr>
      <w:tr>
        <w:trPr>
          <w:cantSplit/>
        </w:trPr>
        <w:tc>
          <w:tcPr>
            <w:tcW w:type="dxa" w:w="19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activity</w:t>
            </w:r>
          </w:p>
        </w:tc>
        <w:tc>
          <w:tcPr>
            <w:tcW w:type="dxa" w:w="3150"/>
            <w:tcMar>
              <w:top w:w="80" w:type="dxa"/>
              <w:bottom w:w="80" w:type="dxa"/>
              <w:start w:w="120" w:type="dxa"/>
              <w:end w:w="120" w:type="dxa"/>
            </w:tcMar>
            <w:vAlign w:val="center"/>
          </w:tcPr>
          <w:p>
            <w:pPr>
              <w:spacing w:before="0" w:after="40" w:line="259" w:lineRule="auto"/>
            </w:pPr>
            <w:r/>
            <w:r>
              <w:rPr>
                <w:rFonts w:ascii="Calibri" w:hAnsi="Calibri"/>
                <w:b w:val="0"/>
                <w:color w:val="1F2937"/>
                <w:sz w:val="17"/>
              </w:rPr>
              <w:t>Completed business activity</w:t>
            </w:r>
          </w:p>
        </w:tc>
        <w:tc>
          <w:tcPr>
            <w:tcW w:type="dxa" w:w="4310"/>
            <w:tcMar>
              <w:top w:w="80" w:type="dxa"/>
              <w:bottom w:w="80" w:type="dxa"/>
              <w:start w:w="120" w:type="dxa"/>
              <w:end w:w="120" w:type="dxa"/>
            </w:tcMar>
            <w:vAlign w:val="center"/>
          </w:tcPr>
          <w:p>
            <w:pPr>
              <w:spacing w:before="0" w:after="40" w:line="259" w:lineRule="auto"/>
            </w:pPr>
            <w:r/>
            <w:r>
              <w:rPr>
                <w:rFonts w:ascii="Calibri" w:hAnsi="Calibri"/>
                <w:b w:val="0"/>
                <w:color w:val="1F2937"/>
                <w:sz w:val="17"/>
              </w:rPr>
              <w:t>Uses the frozen six-name activity dictionary.</w:t>
            </w:r>
          </w:p>
        </w:tc>
      </w:tr>
      <w:tr>
        <w:trPr>
          <w:cantSplit/>
        </w:trPr>
        <w:tc>
          <w:tcPr>
            <w:tcW w:type="dxa" w:w="19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timestamp</w:t>
            </w:r>
          </w:p>
        </w:tc>
        <w:tc>
          <w:tcPr>
            <w:tcW w:type="dxa" w:w="3150"/>
            <w:tcMar>
              <w:top w:w="80" w:type="dxa"/>
              <w:bottom w:w="80" w:type="dxa"/>
              <w:start w:w="120" w:type="dxa"/>
              <w:end w:w="120" w:type="dxa"/>
            </w:tcMar>
            <w:vAlign w:val="center"/>
          </w:tcPr>
          <w:p>
            <w:pPr>
              <w:spacing w:before="0" w:after="40" w:line="259" w:lineRule="auto"/>
            </w:pPr>
            <w:r/>
            <w:r>
              <w:rPr>
                <w:rFonts w:ascii="Calibri" w:hAnsi="Calibri"/>
                <w:b w:val="0"/>
                <w:color w:val="1F2937"/>
                <w:sz w:val="17"/>
              </w:rPr>
              <w:t>Completion time</w:t>
            </w:r>
          </w:p>
        </w:tc>
        <w:tc>
          <w:tcPr>
            <w:tcW w:type="dxa" w:w="4310"/>
            <w:tcMar>
              <w:top w:w="80" w:type="dxa"/>
              <w:bottom w:w="80" w:type="dxa"/>
              <w:start w:w="120" w:type="dxa"/>
              <w:end w:w="120" w:type="dxa"/>
            </w:tcMar>
            <w:vAlign w:val="center"/>
          </w:tcPr>
          <w:p>
            <w:pPr>
              <w:spacing w:before="0" w:after="40" w:line="259" w:lineRule="auto"/>
            </w:pPr>
            <w:r/>
            <w:r>
              <w:rPr>
                <w:rFonts w:ascii="Calibri" w:hAnsi="Calibri"/>
                <w:b w:val="0"/>
                <w:color w:val="1F2937"/>
                <w:sz w:val="17"/>
              </w:rPr>
              <w:t>ISO 8601 UTC and ordered within a case.</w:t>
            </w:r>
          </w:p>
        </w:tc>
      </w:tr>
      <w:tr>
        <w:trPr>
          <w:cantSplit/>
        </w:trPr>
        <w:tc>
          <w:tcPr>
            <w:tcW w:type="dxa" w:w="19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resource</w:t>
            </w:r>
          </w:p>
        </w:tc>
        <w:tc>
          <w:tcPr>
            <w:tcW w:type="dxa" w:w="3150"/>
            <w:tcMar>
              <w:top w:w="80" w:type="dxa"/>
              <w:bottom w:w="80" w:type="dxa"/>
              <w:start w:w="120" w:type="dxa"/>
              <w:end w:w="120" w:type="dxa"/>
            </w:tcMar>
            <w:vAlign w:val="center"/>
          </w:tcPr>
          <w:p>
            <w:pPr>
              <w:spacing w:before="0" w:after="40" w:line="259" w:lineRule="auto"/>
            </w:pPr>
            <w:r/>
            <w:r>
              <w:rPr>
                <w:rFonts w:ascii="Calibri" w:hAnsi="Calibri"/>
                <w:b w:val="0"/>
                <w:color w:val="1F2937"/>
                <w:sz w:val="17"/>
              </w:rPr>
              <w:t>Executing participant</w:t>
            </w:r>
          </w:p>
        </w:tc>
        <w:tc>
          <w:tcPr>
            <w:tcW w:type="dxa" w:w="4310"/>
            <w:tcMar>
              <w:top w:w="80" w:type="dxa"/>
              <w:bottom w:w="80" w:type="dxa"/>
              <w:start w:w="120" w:type="dxa"/>
              <w:end w:w="120" w:type="dxa"/>
            </w:tcMar>
            <w:vAlign w:val="center"/>
          </w:tcPr>
          <w:p>
            <w:pPr>
              <w:spacing w:before="0" w:after="40" w:line="259" w:lineRule="auto"/>
            </w:pPr>
            <w:r/>
            <w:r>
              <w:rPr>
                <w:rFonts w:ascii="Calibri" w:hAnsi="Calibri"/>
                <w:b w:val="0"/>
                <w:color w:val="1F2937"/>
                <w:sz w:val="17"/>
              </w:rPr>
              <w:t>parking-billing-service for runtime events.</w:t>
            </w:r>
          </w:p>
        </w:tc>
      </w:tr>
      <w:tr>
        <w:trPr>
          <w:cantSplit/>
        </w:trPr>
        <w:tc>
          <w:tcPr>
            <w:tcW w:type="dxa" w:w="19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lifecycle/outcome</w:t>
            </w:r>
          </w:p>
        </w:tc>
        <w:tc>
          <w:tcPr>
            <w:tcW w:type="dxa" w:w="3150"/>
            <w:tcMar>
              <w:top w:w="80" w:type="dxa"/>
              <w:bottom w:w="80" w:type="dxa"/>
              <w:start w:w="120" w:type="dxa"/>
              <w:end w:w="120" w:type="dxa"/>
            </w:tcMar>
            <w:vAlign w:val="center"/>
          </w:tcPr>
          <w:p>
            <w:pPr>
              <w:spacing w:before="0" w:after="40" w:line="259" w:lineRule="auto"/>
            </w:pPr>
            <w:r/>
            <w:r>
              <w:rPr>
                <w:rFonts w:ascii="Calibri" w:hAnsi="Calibri"/>
                <w:b w:val="0"/>
                <w:color w:val="1F2937"/>
                <w:sz w:val="17"/>
              </w:rPr>
              <w:t>Event completion and result</w:t>
            </w:r>
          </w:p>
        </w:tc>
        <w:tc>
          <w:tcPr>
            <w:tcW w:type="dxa" w:w="4310"/>
            <w:tcMar>
              <w:top w:w="80" w:type="dxa"/>
              <w:bottom w:w="80" w:type="dxa"/>
              <w:start w:w="120" w:type="dxa"/>
              <w:end w:w="120" w:type="dxa"/>
            </w:tcMar>
            <w:vAlign w:val="center"/>
          </w:tcPr>
          <w:p>
            <w:pPr>
              <w:spacing w:before="0" w:after="40" w:line="259" w:lineRule="auto"/>
            </w:pPr>
            <w:r/>
            <w:r>
              <w:rPr>
                <w:rFonts w:ascii="Calibri" w:hAnsi="Calibri"/>
                <w:b w:val="0"/>
                <w:color w:val="1F2937"/>
                <w:sz w:val="17"/>
              </w:rPr>
              <w:t>lifecycle = complete; runtime normal path outcome = success.</w:t>
            </w:r>
          </w:p>
        </w:tc>
      </w:tr>
      <w:tr>
        <w:trPr>
          <w:cantSplit/>
        </w:trPr>
        <w:tc>
          <w:tcPr>
            <w:tcW w:type="dxa" w:w="19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cost/duration/status</w:t>
            </w:r>
          </w:p>
        </w:tc>
        <w:tc>
          <w:tcPr>
            <w:tcW w:type="dxa" w:w="3150"/>
            <w:tcMar>
              <w:top w:w="80" w:type="dxa"/>
              <w:bottom w:w="80" w:type="dxa"/>
              <w:start w:w="120" w:type="dxa"/>
              <w:end w:w="120" w:type="dxa"/>
            </w:tcMar>
            <w:vAlign w:val="center"/>
          </w:tcPr>
          <w:p>
            <w:pPr>
              <w:spacing w:before="0" w:after="40" w:line="259" w:lineRule="auto"/>
            </w:pPr>
            <w:r/>
            <w:r>
              <w:rPr>
                <w:rFonts w:ascii="Calibri" w:hAnsi="Calibri"/>
                <w:b w:val="0"/>
                <w:color w:val="1F2937"/>
                <w:sz w:val="17"/>
              </w:rPr>
              <w:t>Analytical payload</w:t>
            </w:r>
          </w:p>
        </w:tc>
        <w:tc>
          <w:tcPr>
            <w:tcW w:type="dxa" w:w="4310"/>
            <w:tcMar>
              <w:top w:w="80" w:type="dxa"/>
              <w:bottom w:w="80" w:type="dxa"/>
              <w:start w:w="120" w:type="dxa"/>
              <w:end w:w="120" w:type="dxa"/>
            </w:tcMar>
            <w:vAlign w:val="center"/>
          </w:tcPr>
          <w:p>
            <w:pPr>
              <w:spacing w:before="0" w:after="40" w:line="259" w:lineRule="auto"/>
            </w:pPr>
            <w:r/>
            <w:r>
              <w:rPr>
                <w:rFonts w:ascii="Calibri" w:hAnsi="Calibri"/>
                <w:b w:val="0"/>
                <w:color w:val="1F2937"/>
                <w:sz w:val="17"/>
              </w:rPr>
              <w:t>Populated when relevant to fee, duration or lifecycle state.</w:t>
            </w:r>
          </w:p>
        </w:tc>
      </w:tr>
    </w:tbl>
    <w:p>
      <w:pPr>
        <w:spacing w:before="0" w:after="0" w:line="140" w:lineRule="exact"/>
      </w:pPr>
      <w:r/>
    </w:p>
    <w:p>
      <w:pPr>
        <w:sectPr>
          <w:headerReference w:type="default" r:id="rId14"/>
          <w:footerReference w:type="default" r:id="rId15"/>
          <w:pgSz w:w="12240" w:h="15840"/>
          <w:pgMar w:top="1440" w:right="1440" w:bottom="1440" w:left="1440" w:header="708" w:footer="708" w:gutter="0"/>
          <w:cols w:space="720"/>
          <w:docGrid w:linePitch="360"/>
        </w:sectPr>
      </w:pPr>
    </w:p>
    <w:p>
      <w:pPr>
        <w:spacing w:after="160"/>
      </w:pPr>
      <w:r>
        <w:rPr>
          <w:rFonts w:ascii="Calibri" w:hAnsi="Calibri"/>
          <w:b/>
          <w:color w:val="2E74B5"/>
          <w:sz w:val="32"/>
        </w:rPr>
        <w:t>6. BPMN - Parking Billing and Payment</w:t>
      </w:r>
    </w:p>
    <w:p>
      <w:pPr>
        <w:spacing w:after="100"/>
        <w:jc w:val="center"/>
      </w:pPr>
      <w:r>
        <w:drawing>
          <wp:inline xmlns:a="http://schemas.openxmlformats.org/drawingml/2006/main" xmlns:pic="http://schemas.openxmlformats.org/drawingml/2006/picture">
            <wp:extent cx="8869680" cy="5279571"/>
            <wp:docPr id="2" name="Picture 2"/>
            <wp:cNvGraphicFramePr>
              <a:graphicFrameLocks noChangeAspect="1"/>
            </wp:cNvGraphicFramePr>
            <a:graphic>
              <a:graphicData uri="http://schemas.openxmlformats.org/drawingml/2006/picture">
                <pic:pic>
                  <pic:nvPicPr>
                    <pic:cNvPr id="0" name="BPMN_Parking_Billing.png"/>
                    <pic:cNvPicPr/>
                  </pic:nvPicPr>
                  <pic:blipFill>
                    <a:blip r:embed="rId18"/>
                    <a:stretch>
                      <a:fillRect/>
                    </a:stretch>
                  </pic:blipFill>
                  <pic:spPr>
                    <a:xfrm>
                      <a:off x="0" y="0"/>
                      <a:ext cx="8869680" cy="5279571"/>
                    </a:xfrm>
                    <a:prstGeom prst="rect"/>
                  </pic:spPr>
                </pic:pic>
              </a:graphicData>
            </a:graphic>
          </wp:inline>
        </w:drawing>
      </w:r>
    </w:p>
    <w:p>
      <w:pPr>
        <w:spacing w:before="40" w:after="0"/>
        <w:jc w:val="center"/>
      </w:pPr>
      <w:r>
        <w:rPr>
          <w:rFonts w:ascii="Calibri" w:hAnsi="Calibri"/>
          <w:i/>
          <w:color w:val="667085"/>
          <w:sz w:val="18"/>
        </w:rPr>
        <w:t>Figure 2. Billing collaboration model. B3/B7/B8/B12/B13 match the frozen normal-path event vocabulary; B11 is the simulated payment-failure activity.</w:t>
      </w:r>
    </w:p>
    <w:p>
      <w:pPr>
        <w:sectPr>
          <w:headerReference w:type="default" r:id="rId16"/>
          <w:footerReference w:type="default" r:id="rId17"/>
          <w:pgSz w:w="15840" w:h="12240" w:orient="landscape"/>
          <w:pgMar w:top="792" w:right="792" w:bottom="792" w:left="792" w:header="708" w:footer="708" w:gutter="0"/>
          <w:cols w:space="720"/>
          <w:docGrid w:linePitch="360"/>
        </w:sectPr>
      </w:pPr>
    </w:p>
    <w:p>
      <w:pPr>
        <w:pStyle w:val="Heading1"/>
        <w:keepNext/>
      </w:pPr>
      <w:r>
        <w:rPr>
          <w:rFonts w:ascii="Calibri" w:hAnsi="Calibri"/>
          <w:b/>
          <w:color w:val="2E74B5"/>
          <w:sz w:val="32"/>
        </w:rPr>
        <w:t>7. Semantic Effect Annotations - Billing</w:t>
      </w:r>
    </w:p>
    <w:p>
      <w:pPr>
        <w:pStyle w:val="Heading2"/>
        <w:keepNext/>
      </w:pPr>
      <w:r>
        <w:rPr>
          <w:rFonts w:ascii="Calibri" w:hAnsi="Calibri"/>
          <w:b/>
          <w:color w:val="2E74B5"/>
          <w:sz w:val="26"/>
        </w:rPr>
        <w:t>7.1 Business Objects and Background Knowledge</w:t>
      </w:r>
    </w:p>
    <w:tbl>
      <w:tblPr>
        <w:tblStyle w:val="TableGrid"/>
        <w:tblW w:type="dxa" w:w="9360"/>
        <w:tblLook w:firstColumn="1" w:firstRow="1" w:lastColumn="0" w:lastRow="0" w:noHBand="0" w:noVBand="1" w:val="04A0"/>
        <w:tblInd w:w="120" w:type="dxa"/>
        <w:tblLayout w:type="fixed"/>
      </w:tblPr>
      <w:tblGrid>
        <w:gridCol w:w="1700"/>
        <w:gridCol w:w="1100"/>
        <w:gridCol w:w="6560"/>
      </w:tblGrid>
      <w:tr>
        <w:trPr>
          <w:tblHeader w:val="true"/>
          <w:cantSplit/>
        </w:trPr>
        <w:tc>
          <w:tcPr>
            <w:tcW w:type="dxa" w:w="170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7"/>
              </w:rPr>
              <w:t>Object</w:t>
            </w:r>
          </w:p>
        </w:tc>
        <w:tc>
          <w:tcPr>
            <w:tcW w:type="dxa" w:w="110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7"/>
              </w:rPr>
              <w:t>Variable</w:t>
            </w:r>
          </w:p>
        </w:tc>
        <w:tc>
          <w:tcPr>
            <w:tcW w:type="dxa" w:w="656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7"/>
              </w:rPr>
              <w:t>Relevant states and relationships</w:t>
            </w:r>
          </w:p>
        </w:tc>
      </w:tr>
      <w:tr>
        <w:trPr>
          <w:cantSplit/>
        </w:trPr>
        <w:tc>
          <w:tcPr>
            <w:tcW w:type="dxa" w:w="17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ParkingSession</w:t>
            </w:r>
          </w:p>
        </w:tc>
        <w:tc>
          <w:tcPr>
            <w:tcW w:type="dxa" w:w="11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s</w:t>
            </w:r>
          </w:p>
        </w:tc>
        <w:tc>
          <w:tcPr>
            <w:tcW w:type="dxa" w:w="6560"/>
            <w:tcMar>
              <w:top w:w="80" w:type="dxa"/>
              <w:bottom w:w="80" w:type="dxa"/>
              <w:start w:w="120" w:type="dxa"/>
              <w:end w:w="120" w:type="dxa"/>
            </w:tcMar>
            <w:vAlign w:val="center"/>
          </w:tcPr>
          <w:p>
            <w:pPr>
              <w:spacing w:before="0" w:after="40" w:line="259" w:lineRule="auto"/>
            </w:pPr>
            <w:r/>
            <w:r>
              <w:rPr>
                <w:rFonts w:ascii="Consolas" w:hAnsi="Consolas"/>
                <w:b w:val="0"/>
                <w:color w:val="1F2937"/>
                <w:sz w:val="17"/>
              </w:rPr>
              <w:t>active(s), completed(s), notDue(s), unpaid(s), paid(s), forVehicle(s,v), ownedBy(s,c), atLot(s,l), duration(s,d)</w:t>
            </w:r>
          </w:p>
        </w:tc>
      </w:tr>
      <w:tr>
        <w:trPr>
          <w:cantSplit/>
        </w:trPr>
        <w:tc>
          <w:tcPr>
            <w:tcW w:type="dxa" w:w="17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ParkingFee</w:t>
            </w:r>
          </w:p>
        </w:tc>
        <w:tc>
          <w:tcPr>
            <w:tcW w:type="dxa" w:w="11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f</w:t>
            </w:r>
          </w:p>
        </w:tc>
        <w:tc>
          <w:tcPr>
            <w:tcW w:type="dxa" w:w="6560"/>
            <w:tcMar>
              <w:top w:w="80" w:type="dxa"/>
              <w:bottom w:w="80" w:type="dxa"/>
              <w:start w:w="120" w:type="dxa"/>
              <w:end w:w="120" w:type="dxa"/>
            </w:tcMar>
            <w:vAlign w:val="center"/>
          </w:tcPr>
          <w:p>
            <w:pPr>
              <w:spacing w:before="0" w:after="40" w:line="259" w:lineRule="auto"/>
            </w:pPr>
            <w:r/>
            <w:r>
              <w:rPr>
                <w:rFonts w:ascii="Consolas" w:hAnsi="Consolas"/>
                <w:b w:val="0"/>
                <w:color w:val="1F2937"/>
                <w:sz w:val="17"/>
              </w:rPr>
              <w:t>calculated(f), feeFor(f,s), amount(f,a), currency(f,AUD)</w:t>
            </w:r>
          </w:p>
        </w:tc>
      </w:tr>
      <w:tr>
        <w:trPr>
          <w:cantSplit/>
        </w:trPr>
        <w:tc>
          <w:tcPr>
            <w:tcW w:type="dxa" w:w="17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ParkingPayment</w:t>
            </w:r>
          </w:p>
        </w:tc>
        <w:tc>
          <w:tcPr>
            <w:tcW w:type="dxa" w:w="11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p</w:t>
            </w:r>
          </w:p>
        </w:tc>
        <w:tc>
          <w:tcPr>
            <w:tcW w:type="dxa" w:w="6560"/>
            <w:tcMar>
              <w:top w:w="80" w:type="dxa"/>
              <w:bottom w:w="80" w:type="dxa"/>
              <w:start w:w="120" w:type="dxa"/>
              <w:end w:w="120" w:type="dxa"/>
            </w:tcMar>
            <w:vAlign w:val="center"/>
          </w:tcPr>
          <w:p>
            <w:pPr>
              <w:spacing w:before="0" w:after="40" w:line="259" w:lineRule="auto"/>
            </w:pPr>
            <w:r/>
            <w:r>
              <w:rPr>
                <w:rFonts w:ascii="Consolas" w:hAnsi="Consolas"/>
                <w:b w:val="0"/>
                <w:color w:val="1F2937"/>
                <w:sz w:val="17"/>
              </w:rPr>
              <w:t>initiated(p), completedPayment(p), rejectedPayment(p), paysFor(p,s), method(p,m), paidAt(p,t)</w:t>
            </w:r>
          </w:p>
        </w:tc>
      </w:tr>
      <w:tr>
        <w:trPr>
          <w:cantSplit/>
        </w:trPr>
        <w:tc>
          <w:tcPr>
            <w:tcW w:type="dxa" w:w="17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ProcessEvent</w:t>
            </w:r>
          </w:p>
        </w:tc>
        <w:tc>
          <w:tcPr>
            <w:tcW w:type="dxa" w:w="11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e</w:t>
            </w:r>
          </w:p>
        </w:tc>
        <w:tc>
          <w:tcPr>
            <w:tcW w:type="dxa" w:w="6560"/>
            <w:tcMar>
              <w:top w:w="80" w:type="dxa"/>
              <w:bottom w:w="80" w:type="dxa"/>
              <w:start w:w="120" w:type="dxa"/>
              <w:end w:w="120" w:type="dxa"/>
            </w:tcMar>
            <w:vAlign w:val="center"/>
          </w:tcPr>
          <w:p>
            <w:pPr>
              <w:spacing w:before="0" w:after="40" w:line="259" w:lineRule="auto"/>
            </w:pPr>
            <w:r/>
            <w:r>
              <w:rPr>
                <w:rFonts w:ascii="Consolas" w:hAnsi="Consolas"/>
                <w:b w:val="0"/>
                <w:color w:val="1F2937"/>
                <w:sz w:val="17"/>
              </w:rPr>
              <w:t>eventFor(e,s), activity(e,name), lifecycle(e,complete), outcome(e,result)</w:t>
            </w:r>
          </w:p>
        </w:tc>
      </w:tr>
    </w:tbl>
    <w:p>
      <w:pPr>
        <w:spacing w:before="0" w:after="0" w:line="140" w:lineRule="exact"/>
      </w:pPr>
      <w:r/>
    </w:p>
    <w:tbl>
      <w:tblPr>
        <w:tblStyle w:val="TableGrid"/>
        <w:tblW w:type="dxa" w:w="9360"/>
        <w:tblLook w:firstColumn="1" w:firstRow="1" w:lastColumn="0" w:lastRow="0" w:noHBand="0" w:noVBand="1" w:val="04A0"/>
        <w:tblInd w:w="120" w:type="dxa"/>
        <w:tblLayout w:type="fixed"/>
      </w:tblPr>
      <w:tblGrid>
        <w:gridCol w:w="9360"/>
      </w:tblGrid>
      <w:tr>
        <w:trPr>
          <w:cantSplit/>
        </w:trPr>
        <w:tc>
          <w:tcPr>
            <w:tcW w:type="dxa" w:w="9360"/>
            <w:shd w:fill="F2F4F7"/>
            <w:tcMar>
              <w:top w:w="80" w:type="dxa"/>
              <w:bottom w:w="80" w:type="dxa"/>
              <w:start w:w="120" w:type="dxa"/>
              <w:end w:w="120" w:type="dxa"/>
            </w:tcMar>
            <w:vAlign w:val="center"/>
          </w:tcPr>
          <w:p>
            <w:pPr>
              <w:spacing w:before="40" w:after="40" w:line="240" w:lineRule="auto"/>
            </w:pPr>
            <w:r/>
            <w:r>
              <w:rPr>
                <w:rFonts w:ascii="Calibri" w:hAnsi="Calibri"/>
                <w:b/>
                <w:color w:val="18364B"/>
                <w:sz w:val="18"/>
              </w:rPr>
              <w:t xml:space="preserve">Background knowledge BK-B  </w:t>
            </w:r>
            <w:r>
              <w:rPr>
                <w:rFonts w:ascii="Consolas" w:hAnsi="Consolas"/>
                <w:color w:val="1F2937"/>
                <w:sz w:val="18"/>
              </w:rPr>
              <w:t>active(s) -&gt; notDue(s); completed(s) -&gt; ¬active(s); paid(s) -&gt; completed(s) ∧ ¬unpaid(s); completedPayment(p) -&gt; paysFor(p,s) ∧ paid(s); rejectedPayment(p) -&gt; unpaid(s); paid(s) and unpaid(s) are mutually exclusive</w:t>
            </w:r>
          </w:p>
        </w:tc>
      </w:tr>
    </w:tbl>
    <w:p>
      <w:pPr>
        <w:spacing w:before="0" w:after="0" w:line="140" w:lineRule="exact"/>
      </w:pPr>
      <w:r/>
    </w:p>
    <w:p>
      <w:pPr>
        <w:pStyle w:val="Heading2"/>
        <w:keepNext/>
      </w:pPr>
      <w:r>
        <w:rPr>
          <w:rFonts w:ascii="Calibri" w:hAnsi="Calibri"/>
          <w:b/>
          <w:color w:val="2E74B5"/>
          <w:sz w:val="26"/>
        </w:rPr>
        <w:t>7.2 Immediate Effects</w:t>
      </w:r>
    </w:p>
    <w:tbl>
      <w:tblPr>
        <w:tblStyle w:val="TableGrid"/>
        <w:tblW w:type="dxa" w:w="9360"/>
        <w:tblLook w:firstColumn="1" w:firstRow="1" w:lastColumn="0" w:lastRow="0" w:noHBand="0" w:noVBand="1" w:val="04A0"/>
        <w:tblInd w:w="120" w:type="dxa"/>
        <w:tblLayout w:type="fixed"/>
      </w:tblPr>
      <w:tblGrid>
        <w:gridCol w:w="600"/>
        <w:gridCol w:w="2400"/>
        <w:gridCol w:w="6360"/>
      </w:tblGrid>
      <w:tr>
        <w:trPr>
          <w:tblHeader w:val="true"/>
          <w:cantSplit/>
        </w:trPr>
        <w:tc>
          <w:tcPr>
            <w:tcW w:type="dxa" w:w="60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6"/>
              </w:rPr>
              <w:t>ID</w:t>
            </w:r>
          </w:p>
        </w:tc>
        <w:tc>
          <w:tcPr>
            <w:tcW w:type="dxa" w:w="240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6"/>
              </w:rPr>
              <w:t>BPMN task</w:t>
            </w:r>
          </w:p>
        </w:tc>
        <w:tc>
          <w:tcPr>
            <w:tcW w:type="dxa" w:w="636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6"/>
              </w:rPr>
              <w:t>Immediate effect assertion</w:t>
            </w:r>
          </w:p>
        </w:tc>
      </w:tr>
      <w:tr>
        <w:trPr>
          <w:cantSplit/>
        </w:trPr>
        <w:tc>
          <w:tcPr>
            <w:tcW w:type="dxa" w:w="600"/>
            <w:tcMar>
              <w:top w:w="80" w:type="dxa"/>
              <w:bottom w:w="80" w:type="dxa"/>
              <w:start w:w="120" w:type="dxa"/>
              <w:end w:w="120" w:type="dxa"/>
            </w:tcMar>
            <w:vAlign w:val="center"/>
          </w:tcPr>
          <w:p>
            <w:pPr>
              <w:spacing w:before="0" w:after="40" w:line="259" w:lineRule="auto"/>
            </w:pPr>
            <w:r/>
            <w:r>
              <w:rPr>
                <w:rFonts w:ascii="Calibri" w:hAnsi="Calibri"/>
                <w:b w:val="0"/>
                <w:color w:val="1F2937"/>
                <w:sz w:val="16"/>
              </w:rPr>
              <w:t>B1</w:t>
            </w:r>
          </w:p>
        </w:tc>
        <w:tc>
          <w:tcPr>
            <w:tcW w:type="dxa" w:w="2400"/>
            <w:tcMar>
              <w:top w:w="80" w:type="dxa"/>
              <w:bottom w:w="80" w:type="dxa"/>
              <w:start w:w="120" w:type="dxa"/>
              <w:end w:w="120" w:type="dxa"/>
            </w:tcMar>
            <w:vAlign w:val="center"/>
          </w:tcPr>
          <w:p>
            <w:pPr>
              <w:spacing w:before="0" w:after="40" w:line="259" w:lineRule="auto"/>
            </w:pPr>
            <w:r/>
            <w:r>
              <w:rPr>
                <w:rFonts w:ascii="Calibri" w:hAnsi="Calibri"/>
                <w:b w:val="0"/>
                <w:color w:val="1F2937"/>
                <w:sz w:val="16"/>
              </w:rPr>
              <w:t>Validate entry</w:t>
            </w:r>
          </w:p>
        </w:tc>
        <w:tc>
          <w:tcPr>
            <w:tcW w:type="dxa" w:w="6360"/>
            <w:tcMar>
              <w:top w:w="80" w:type="dxa"/>
              <w:bottom w:w="80" w:type="dxa"/>
              <w:start w:w="120" w:type="dxa"/>
              <w:end w:w="120" w:type="dxa"/>
            </w:tcMar>
            <w:vAlign w:val="center"/>
          </w:tcPr>
          <w:p>
            <w:pPr>
              <w:spacing w:before="0" w:after="40" w:line="259" w:lineRule="auto"/>
            </w:pPr>
            <w:r/>
            <w:r>
              <w:rPr>
                <w:rFonts w:ascii="Consolas" w:hAnsi="Consolas"/>
                <w:b w:val="0"/>
                <w:color w:val="1F2937"/>
                <w:sz w:val="16"/>
              </w:rPr>
              <w:t>validEntry(r) OR rejected(r,validationOrDuplicate)</w:t>
            </w:r>
          </w:p>
        </w:tc>
      </w:tr>
      <w:tr>
        <w:trPr>
          <w:cantSplit/>
        </w:trPr>
        <w:tc>
          <w:tcPr>
            <w:tcW w:type="dxa" w:w="600"/>
            <w:tcMar>
              <w:top w:w="80" w:type="dxa"/>
              <w:bottom w:w="80" w:type="dxa"/>
              <w:start w:w="120" w:type="dxa"/>
              <w:end w:w="120" w:type="dxa"/>
            </w:tcMar>
            <w:vAlign w:val="center"/>
          </w:tcPr>
          <w:p>
            <w:pPr>
              <w:spacing w:before="0" w:after="40" w:line="259" w:lineRule="auto"/>
            </w:pPr>
            <w:r/>
            <w:r>
              <w:rPr>
                <w:rFonts w:ascii="Calibri" w:hAnsi="Calibri"/>
                <w:b w:val="0"/>
                <w:color w:val="1F2937"/>
                <w:sz w:val="16"/>
              </w:rPr>
              <w:t>B2</w:t>
            </w:r>
          </w:p>
        </w:tc>
        <w:tc>
          <w:tcPr>
            <w:tcW w:type="dxa" w:w="2400"/>
            <w:tcMar>
              <w:top w:w="80" w:type="dxa"/>
              <w:bottom w:w="80" w:type="dxa"/>
              <w:start w:w="120" w:type="dxa"/>
              <w:end w:w="120" w:type="dxa"/>
            </w:tcMar>
            <w:vAlign w:val="center"/>
          </w:tcPr>
          <w:p>
            <w:pPr>
              <w:spacing w:before="0" w:after="40" w:line="259" w:lineRule="auto"/>
            </w:pPr>
            <w:r/>
            <w:r>
              <w:rPr>
                <w:rFonts w:ascii="Calibri" w:hAnsi="Calibri"/>
                <w:b w:val="0"/>
                <w:color w:val="1F2937"/>
                <w:sz w:val="16"/>
              </w:rPr>
              <w:t>Return conflict</w:t>
            </w:r>
          </w:p>
        </w:tc>
        <w:tc>
          <w:tcPr>
            <w:tcW w:type="dxa" w:w="6360"/>
            <w:tcMar>
              <w:top w:w="80" w:type="dxa"/>
              <w:bottom w:w="80" w:type="dxa"/>
              <w:start w:w="120" w:type="dxa"/>
              <w:end w:w="120" w:type="dxa"/>
            </w:tcMar>
            <w:vAlign w:val="center"/>
          </w:tcPr>
          <w:p>
            <w:pPr>
              <w:spacing w:before="0" w:after="40" w:line="259" w:lineRule="auto"/>
            </w:pPr>
            <w:r/>
            <w:r>
              <w:rPr>
                <w:rFonts w:ascii="Consolas" w:hAnsi="Consolas"/>
                <w:b w:val="0"/>
                <w:color w:val="1F2937"/>
                <w:sz w:val="16"/>
              </w:rPr>
              <w:t>errorResponse(q,ACTIVE_SESSION_EXISTS) ∧ ¬sessionCreated(r)</w:t>
            </w:r>
          </w:p>
        </w:tc>
      </w:tr>
      <w:tr>
        <w:trPr>
          <w:cantSplit/>
        </w:trPr>
        <w:tc>
          <w:tcPr>
            <w:tcW w:type="dxa" w:w="600"/>
            <w:tcMar>
              <w:top w:w="80" w:type="dxa"/>
              <w:bottom w:w="80" w:type="dxa"/>
              <w:start w:w="120" w:type="dxa"/>
              <w:end w:w="120" w:type="dxa"/>
            </w:tcMar>
            <w:vAlign w:val="center"/>
          </w:tcPr>
          <w:p>
            <w:pPr>
              <w:spacing w:before="0" w:after="40" w:line="259" w:lineRule="auto"/>
            </w:pPr>
            <w:r/>
            <w:r>
              <w:rPr>
                <w:rFonts w:ascii="Calibri" w:hAnsi="Calibri"/>
                <w:b w:val="0"/>
                <w:color w:val="1F2937"/>
                <w:sz w:val="16"/>
              </w:rPr>
              <w:t>B3</w:t>
            </w:r>
          </w:p>
        </w:tc>
        <w:tc>
          <w:tcPr>
            <w:tcW w:type="dxa" w:w="2400"/>
            <w:tcMar>
              <w:top w:w="80" w:type="dxa"/>
              <w:bottom w:w="80" w:type="dxa"/>
              <w:start w:w="120" w:type="dxa"/>
              <w:end w:w="120" w:type="dxa"/>
            </w:tcMar>
            <w:vAlign w:val="center"/>
          </w:tcPr>
          <w:p>
            <w:pPr>
              <w:spacing w:before="0" w:after="40" w:line="259" w:lineRule="auto"/>
            </w:pPr>
            <w:r/>
            <w:r>
              <w:rPr>
                <w:rFonts w:ascii="Calibri" w:hAnsi="Calibri"/>
                <w:b w:val="0"/>
                <w:color w:val="1F2937"/>
                <w:sz w:val="16"/>
              </w:rPr>
              <w:t>Register Parking Entry</w:t>
            </w:r>
          </w:p>
        </w:tc>
        <w:tc>
          <w:tcPr>
            <w:tcW w:type="dxa" w:w="6360"/>
            <w:tcMar>
              <w:top w:w="80" w:type="dxa"/>
              <w:bottom w:w="80" w:type="dxa"/>
              <w:start w:w="120" w:type="dxa"/>
              <w:end w:w="120" w:type="dxa"/>
            </w:tcMar>
            <w:vAlign w:val="center"/>
          </w:tcPr>
          <w:p>
            <w:pPr>
              <w:spacing w:before="0" w:after="40" w:line="259" w:lineRule="auto"/>
            </w:pPr>
            <w:r/>
            <w:r>
              <w:rPr>
                <w:rFonts w:ascii="Consolas" w:hAnsi="Consolas"/>
                <w:b w:val="0"/>
                <w:color w:val="1F2937"/>
                <w:sz w:val="16"/>
              </w:rPr>
              <w:t>active(s) ∧ notDue(s) ∧ forVehicle(s,v) ∧ ownedBy(s,c) ∧ atLot(s,l) ∧ event(activity=Register Parking Entry)</w:t>
            </w:r>
          </w:p>
        </w:tc>
      </w:tr>
      <w:tr>
        <w:trPr>
          <w:cantSplit/>
        </w:trPr>
        <w:tc>
          <w:tcPr>
            <w:tcW w:type="dxa" w:w="600"/>
            <w:tcMar>
              <w:top w:w="80" w:type="dxa"/>
              <w:bottom w:w="80" w:type="dxa"/>
              <w:start w:w="120" w:type="dxa"/>
              <w:end w:w="120" w:type="dxa"/>
            </w:tcMar>
            <w:vAlign w:val="center"/>
          </w:tcPr>
          <w:p>
            <w:pPr>
              <w:spacing w:before="0" w:after="40" w:line="259" w:lineRule="auto"/>
            </w:pPr>
            <w:r/>
            <w:r>
              <w:rPr>
                <w:rFonts w:ascii="Calibri" w:hAnsi="Calibri"/>
                <w:b w:val="0"/>
                <w:color w:val="1F2937"/>
                <w:sz w:val="16"/>
              </w:rPr>
              <w:t>B4</w:t>
            </w:r>
          </w:p>
        </w:tc>
        <w:tc>
          <w:tcPr>
            <w:tcW w:type="dxa" w:w="2400"/>
            <w:tcMar>
              <w:top w:w="80" w:type="dxa"/>
              <w:bottom w:w="80" w:type="dxa"/>
              <w:start w:w="120" w:type="dxa"/>
              <w:end w:w="120" w:type="dxa"/>
            </w:tcMar>
            <w:vAlign w:val="center"/>
          </w:tcPr>
          <w:p>
            <w:pPr>
              <w:spacing w:before="0" w:after="40" w:line="259" w:lineRule="auto"/>
            </w:pPr>
            <w:r/>
            <w:r>
              <w:rPr>
                <w:rFonts w:ascii="Calibri" w:hAnsi="Calibri"/>
                <w:b w:val="0"/>
                <w:color w:val="1F2937"/>
                <w:sz w:val="16"/>
              </w:rPr>
              <w:t>Return session</w:t>
            </w:r>
          </w:p>
        </w:tc>
        <w:tc>
          <w:tcPr>
            <w:tcW w:type="dxa" w:w="6360"/>
            <w:tcMar>
              <w:top w:w="80" w:type="dxa"/>
              <w:bottom w:w="80" w:type="dxa"/>
              <w:start w:w="120" w:type="dxa"/>
              <w:end w:w="120" w:type="dxa"/>
            </w:tcMar>
            <w:vAlign w:val="center"/>
          </w:tcPr>
          <w:p>
            <w:pPr>
              <w:spacing w:before="0" w:after="40" w:line="259" w:lineRule="auto"/>
            </w:pPr>
            <w:r/>
            <w:r>
              <w:rPr>
                <w:rFonts w:ascii="Consolas" w:hAnsi="Consolas"/>
                <w:b w:val="0"/>
                <w:color w:val="1F2937"/>
                <w:sz w:val="16"/>
              </w:rPr>
              <w:t>delivered(q) ∧ contains(q,s)</w:t>
            </w:r>
          </w:p>
        </w:tc>
      </w:tr>
      <w:tr>
        <w:trPr>
          <w:cantSplit/>
        </w:trPr>
        <w:tc>
          <w:tcPr>
            <w:tcW w:type="dxa" w:w="600"/>
            <w:tcMar>
              <w:top w:w="80" w:type="dxa"/>
              <w:bottom w:w="80" w:type="dxa"/>
              <w:start w:w="120" w:type="dxa"/>
              <w:end w:w="120" w:type="dxa"/>
            </w:tcMar>
            <w:vAlign w:val="center"/>
          </w:tcPr>
          <w:p>
            <w:pPr>
              <w:spacing w:before="0" w:after="40" w:line="259" w:lineRule="auto"/>
            </w:pPr>
            <w:r/>
            <w:r>
              <w:rPr>
                <w:rFonts w:ascii="Calibri" w:hAnsi="Calibri"/>
                <w:b w:val="0"/>
                <w:color w:val="1F2937"/>
                <w:sz w:val="16"/>
              </w:rPr>
              <w:t>B5</w:t>
            </w:r>
          </w:p>
        </w:tc>
        <w:tc>
          <w:tcPr>
            <w:tcW w:type="dxa" w:w="2400"/>
            <w:tcMar>
              <w:top w:w="80" w:type="dxa"/>
              <w:bottom w:w="80" w:type="dxa"/>
              <w:start w:w="120" w:type="dxa"/>
              <w:end w:w="120" w:type="dxa"/>
            </w:tcMar>
            <w:vAlign w:val="center"/>
          </w:tcPr>
          <w:p>
            <w:pPr>
              <w:spacing w:before="0" w:after="40" w:line="259" w:lineRule="auto"/>
            </w:pPr>
            <w:r/>
            <w:r>
              <w:rPr>
                <w:rFonts w:ascii="Calibri" w:hAnsi="Calibri"/>
                <w:b w:val="0"/>
                <w:color w:val="1F2937"/>
                <w:sz w:val="16"/>
              </w:rPr>
              <w:t>Validate end</w:t>
            </w:r>
          </w:p>
        </w:tc>
        <w:tc>
          <w:tcPr>
            <w:tcW w:type="dxa" w:w="6360"/>
            <w:tcMar>
              <w:top w:w="80" w:type="dxa"/>
              <w:bottom w:w="80" w:type="dxa"/>
              <w:start w:w="120" w:type="dxa"/>
              <w:end w:w="120" w:type="dxa"/>
            </w:tcMar>
            <w:vAlign w:val="center"/>
          </w:tcPr>
          <w:p>
            <w:pPr>
              <w:spacing w:before="0" w:after="40" w:line="259" w:lineRule="auto"/>
            </w:pPr>
            <w:r/>
            <w:r>
              <w:rPr>
                <w:rFonts w:ascii="Consolas" w:hAnsi="Consolas"/>
                <w:b w:val="0"/>
                <w:color w:val="1F2937"/>
                <w:sz w:val="16"/>
              </w:rPr>
              <w:t>validEnd(r,s,t) OR rejected(r,notFoundAlreadyEndedOrInvalidTime)</w:t>
            </w:r>
          </w:p>
        </w:tc>
      </w:tr>
      <w:tr>
        <w:trPr>
          <w:cantSplit/>
        </w:trPr>
        <w:tc>
          <w:tcPr>
            <w:tcW w:type="dxa" w:w="600"/>
            <w:tcMar>
              <w:top w:w="80" w:type="dxa"/>
              <w:bottom w:w="80" w:type="dxa"/>
              <w:start w:w="120" w:type="dxa"/>
              <w:end w:w="120" w:type="dxa"/>
            </w:tcMar>
            <w:vAlign w:val="center"/>
          </w:tcPr>
          <w:p>
            <w:pPr>
              <w:spacing w:before="0" w:after="40" w:line="259" w:lineRule="auto"/>
            </w:pPr>
            <w:r/>
            <w:r>
              <w:rPr>
                <w:rFonts w:ascii="Calibri" w:hAnsi="Calibri"/>
                <w:b w:val="0"/>
                <w:color w:val="1F2937"/>
                <w:sz w:val="16"/>
              </w:rPr>
              <w:t>B6</w:t>
            </w:r>
          </w:p>
        </w:tc>
        <w:tc>
          <w:tcPr>
            <w:tcW w:type="dxa" w:w="2400"/>
            <w:tcMar>
              <w:top w:w="80" w:type="dxa"/>
              <w:bottom w:w="80" w:type="dxa"/>
              <w:start w:w="120" w:type="dxa"/>
              <w:end w:w="120" w:type="dxa"/>
            </w:tcMar>
            <w:vAlign w:val="center"/>
          </w:tcPr>
          <w:p>
            <w:pPr>
              <w:spacing w:before="0" w:after="40" w:line="259" w:lineRule="auto"/>
            </w:pPr>
            <w:r/>
            <w:r>
              <w:rPr>
                <w:rFonts w:ascii="Calibri" w:hAnsi="Calibri"/>
                <w:b w:val="0"/>
                <w:color w:val="1F2937"/>
                <w:sz w:val="16"/>
              </w:rPr>
              <w:t>Return error</w:t>
            </w:r>
          </w:p>
        </w:tc>
        <w:tc>
          <w:tcPr>
            <w:tcW w:type="dxa" w:w="6360"/>
            <w:tcMar>
              <w:top w:w="80" w:type="dxa"/>
              <w:bottom w:w="80" w:type="dxa"/>
              <w:start w:w="120" w:type="dxa"/>
              <w:end w:w="120" w:type="dxa"/>
            </w:tcMar>
            <w:vAlign w:val="center"/>
          </w:tcPr>
          <w:p>
            <w:pPr>
              <w:spacing w:before="0" w:after="40" w:line="259" w:lineRule="auto"/>
            </w:pPr>
            <w:r/>
            <w:r>
              <w:rPr>
                <w:rFonts w:ascii="Consolas" w:hAnsi="Consolas"/>
                <w:b w:val="0"/>
                <w:color w:val="1F2937"/>
                <w:sz w:val="16"/>
              </w:rPr>
              <w:t>errorResponse(q,code) ∧ ¬sessionEnded(r)</w:t>
            </w:r>
          </w:p>
        </w:tc>
      </w:tr>
      <w:tr>
        <w:trPr>
          <w:cantSplit/>
        </w:trPr>
        <w:tc>
          <w:tcPr>
            <w:tcW w:type="dxa" w:w="600"/>
            <w:tcMar>
              <w:top w:w="80" w:type="dxa"/>
              <w:bottom w:w="80" w:type="dxa"/>
              <w:start w:w="120" w:type="dxa"/>
              <w:end w:w="120" w:type="dxa"/>
            </w:tcMar>
            <w:vAlign w:val="center"/>
          </w:tcPr>
          <w:p>
            <w:pPr>
              <w:spacing w:before="0" w:after="40" w:line="259" w:lineRule="auto"/>
            </w:pPr>
            <w:r/>
            <w:r>
              <w:rPr>
                <w:rFonts w:ascii="Calibri" w:hAnsi="Calibri"/>
                <w:b w:val="0"/>
                <w:color w:val="1F2937"/>
                <w:sz w:val="16"/>
              </w:rPr>
              <w:t>B7</w:t>
            </w:r>
          </w:p>
        </w:tc>
        <w:tc>
          <w:tcPr>
            <w:tcW w:type="dxa" w:w="2400"/>
            <w:tcMar>
              <w:top w:w="80" w:type="dxa"/>
              <w:bottom w:w="80" w:type="dxa"/>
              <w:start w:w="120" w:type="dxa"/>
              <w:end w:w="120" w:type="dxa"/>
            </w:tcMar>
            <w:vAlign w:val="center"/>
          </w:tcPr>
          <w:p>
            <w:pPr>
              <w:spacing w:before="0" w:after="40" w:line="259" w:lineRule="auto"/>
            </w:pPr>
            <w:r/>
            <w:r>
              <w:rPr>
                <w:rFonts w:ascii="Calibri" w:hAnsi="Calibri"/>
                <w:b w:val="0"/>
                <w:color w:val="1F2937"/>
                <w:sz w:val="16"/>
              </w:rPr>
              <w:t>Close Parking Session</w:t>
            </w:r>
          </w:p>
        </w:tc>
        <w:tc>
          <w:tcPr>
            <w:tcW w:type="dxa" w:w="6360"/>
            <w:tcMar>
              <w:top w:w="80" w:type="dxa"/>
              <w:bottom w:w="80" w:type="dxa"/>
              <w:start w:w="120" w:type="dxa"/>
              <w:end w:w="120" w:type="dxa"/>
            </w:tcMar>
            <w:vAlign w:val="center"/>
          </w:tcPr>
          <w:p>
            <w:pPr>
              <w:spacing w:before="0" w:after="40" w:line="259" w:lineRule="auto"/>
            </w:pPr>
            <w:r/>
            <w:r>
              <w:rPr>
                <w:rFonts w:ascii="Consolas" w:hAnsi="Consolas"/>
                <w:b w:val="0"/>
                <w:color w:val="1F2937"/>
                <w:sz w:val="16"/>
              </w:rPr>
              <w:t>completed(s) ∧ ¬active(s) ∧ endedAt(s,t) ∧ duration(s,d) ∧ event(activity=Close Parking Session)</w:t>
            </w:r>
          </w:p>
        </w:tc>
      </w:tr>
      <w:tr>
        <w:trPr>
          <w:cantSplit/>
        </w:trPr>
        <w:tc>
          <w:tcPr>
            <w:tcW w:type="dxa" w:w="600"/>
            <w:tcMar>
              <w:top w:w="80" w:type="dxa"/>
              <w:bottom w:w="80" w:type="dxa"/>
              <w:start w:w="120" w:type="dxa"/>
              <w:end w:w="120" w:type="dxa"/>
            </w:tcMar>
            <w:vAlign w:val="center"/>
          </w:tcPr>
          <w:p>
            <w:pPr>
              <w:spacing w:before="0" w:after="40" w:line="259" w:lineRule="auto"/>
            </w:pPr>
            <w:r/>
            <w:r>
              <w:rPr>
                <w:rFonts w:ascii="Calibri" w:hAnsi="Calibri"/>
                <w:b w:val="0"/>
                <w:color w:val="1F2937"/>
                <w:sz w:val="16"/>
              </w:rPr>
              <w:t>B8</w:t>
            </w:r>
          </w:p>
        </w:tc>
        <w:tc>
          <w:tcPr>
            <w:tcW w:type="dxa" w:w="2400"/>
            <w:tcMar>
              <w:top w:w="80" w:type="dxa"/>
              <w:bottom w:w="80" w:type="dxa"/>
              <w:start w:w="120" w:type="dxa"/>
              <w:end w:w="120" w:type="dxa"/>
            </w:tcMar>
            <w:vAlign w:val="center"/>
          </w:tcPr>
          <w:p>
            <w:pPr>
              <w:spacing w:before="0" w:after="40" w:line="259" w:lineRule="auto"/>
            </w:pPr>
            <w:r/>
            <w:r>
              <w:rPr>
                <w:rFonts w:ascii="Calibri" w:hAnsi="Calibri"/>
                <w:b w:val="0"/>
                <w:color w:val="1F2937"/>
                <w:sz w:val="16"/>
              </w:rPr>
              <w:t>Calculate Parking Fee</w:t>
            </w:r>
          </w:p>
        </w:tc>
        <w:tc>
          <w:tcPr>
            <w:tcW w:type="dxa" w:w="6360"/>
            <w:tcMar>
              <w:top w:w="80" w:type="dxa"/>
              <w:bottom w:w="80" w:type="dxa"/>
              <w:start w:w="120" w:type="dxa"/>
              <w:end w:w="120" w:type="dxa"/>
            </w:tcMar>
            <w:vAlign w:val="center"/>
          </w:tcPr>
          <w:p>
            <w:pPr>
              <w:spacing w:before="0" w:after="40" w:line="259" w:lineRule="auto"/>
            </w:pPr>
            <w:r/>
            <w:r>
              <w:rPr>
                <w:rFonts w:ascii="Consolas" w:hAnsi="Consolas"/>
                <w:b w:val="0"/>
                <w:color w:val="1F2937"/>
                <w:sz w:val="16"/>
              </w:rPr>
              <w:t>calculated(f) ∧ feeFor(f,s) ∧ amount(f,a) ∧ currency(f,AUD) ∧ unpaid(s) ∧ event(activity=Calculate Parking Fee)</w:t>
            </w:r>
          </w:p>
        </w:tc>
      </w:tr>
      <w:tr>
        <w:trPr>
          <w:cantSplit/>
        </w:trPr>
        <w:tc>
          <w:tcPr>
            <w:tcW w:type="dxa" w:w="600"/>
            <w:tcMar>
              <w:top w:w="80" w:type="dxa"/>
              <w:bottom w:w="80" w:type="dxa"/>
              <w:start w:w="120" w:type="dxa"/>
              <w:end w:w="120" w:type="dxa"/>
            </w:tcMar>
            <w:vAlign w:val="center"/>
          </w:tcPr>
          <w:p>
            <w:pPr>
              <w:spacing w:before="0" w:after="40" w:line="259" w:lineRule="auto"/>
            </w:pPr>
            <w:r/>
            <w:r>
              <w:rPr>
                <w:rFonts w:ascii="Calibri" w:hAnsi="Calibri"/>
                <w:b w:val="0"/>
                <w:color w:val="1F2937"/>
                <w:sz w:val="16"/>
              </w:rPr>
              <w:t>B9</w:t>
            </w:r>
          </w:p>
        </w:tc>
        <w:tc>
          <w:tcPr>
            <w:tcW w:type="dxa" w:w="2400"/>
            <w:tcMar>
              <w:top w:w="80" w:type="dxa"/>
              <w:bottom w:w="80" w:type="dxa"/>
              <w:start w:w="120" w:type="dxa"/>
              <w:end w:w="120" w:type="dxa"/>
            </w:tcMar>
            <w:vAlign w:val="center"/>
          </w:tcPr>
          <w:p>
            <w:pPr>
              <w:spacing w:before="0" w:after="40" w:line="259" w:lineRule="auto"/>
            </w:pPr>
            <w:r/>
            <w:r>
              <w:rPr>
                <w:rFonts w:ascii="Calibri" w:hAnsi="Calibri"/>
                <w:b w:val="0"/>
                <w:color w:val="1F2937"/>
                <w:sz w:val="16"/>
              </w:rPr>
              <w:t>Return amount</w:t>
            </w:r>
          </w:p>
        </w:tc>
        <w:tc>
          <w:tcPr>
            <w:tcW w:type="dxa" w:w="6360"/>
            <w:tcMar>
              <w:top w:w="80" w:type="dxa"/>
              <w:bottom w:w="80" w:type="dxa"/>
              <w:start w:w="120" w:type="dxa"/>
              <w:end w:w="120" w:type="dxa"/>
            </w:tcMar>
            <w:vAlign w:val="center"/>
          </w:tcPr>
          <w:p>
            <w:pPr>
              <w:spacing w:before="0" w:after="40" w:line="259" w:lineRule="auto"/>
            </w:pPr>
            <w:r/>
            <w:r>
              <w:rPr>
                <w:rFonts w:ascii="Consolas" w:hAnsi="Consolas"/>
                <w:b w:val="0"/>
                <w:color w:val="1F2937"/>
                <w:sz w:val="16"/>
              </w:rPr>
              <w:t>delivered(q) ∧ contains(q,s) ∧ exposes(q,a,AUD)</w:t>
            </w:r>
          </w:p>
        </w:tc>
      </w:tr>
      <w:tr>
        <w:trPr>
          <w:cantSplit/>
        </w:trPr>
        <w:tc>
          <w:tcPr>
            <w:tcW w:type="dxa" w:w="600"/>
            <w:tcMar>
              <w:top w:w="80" w:type="dxa"/>
              <w:bottom w:w="80" w:type="dxa"/>
              <w:start w:w="120" w:type="dxa"/>
              <w:end w:w="120" w:type="dxa"/>
            </w:tcMar>
            <w:vAlign w:val="center"/>
          </w:tcPr>
          <w:p>
            <w:pPr>
              <w:spacing w:before="0" w:after="40" w:line="259" w:lineRule="auto"/>
            </w:pPr>
            <w:r/>
            <w:r>
              <w:rPr>
                <w:rFonts w:ascii="Calibri" w:hAnsi="Calibri"/>
                <w:b w:val="0"/>
                <w:color w:val="1F2937"/>
                <w:sz w:val="16"/>
              </w:rPr>
              <w:t>B10</w:t>
            </w:r>
          </w:p>
        </w:tc>
        <w:tc>
          <w:tcPr>
            <w:tcW w:type="dxa" w:w="2400"/>
            <w:tcMar>
              <w:top w:w="80" w:type="dxa"/>
              <w:bottom w:w="80" w:type="dxa"/>
              <w:start w:w="120" w:type="dxa"/>
              <w:end w:w="120" w:type="dxa"/>
            </w:tcMar>
            <w:vAlign w:val="center"/>
          </w:tcPr>
          <w:p>
            <w:pPr>
              <w:spacing w:before="0" w:after="40" w:line="259" w:lineRule="auto"/>
            </w:pPr>
            <w:r/>
            <w:r>
              <w:rPr>
                <w:rFonts w:ascii="Calibri" w:hAnsi="Calibri"/>
                <w:b w:val="0"/>
                <w:color w:val="1F2937"/>
                <w:sz w:val="16"/>
              </w:rPr>
              <w:t>Validate payment</w:t>
            </w:r>
          </w:p>
        </w:tc>
        <w:tc>
          <w:tcPr>
            <w:tcW w:type="dxa" w:w="6360"/>
            <w:tcMar>
              <w:top w:w="80" w:type="dxa"/>
              <w:bottom w:w="80" w:type="dxa"/>
              <w:start w:w="120" w:type="dxa"/>
              <w:end w:w="120" w:type="dxa"/>
            </w:tcMar>
            <w:vAlign w:val="center"/>
          </w:tcPr>
          <w:p>
            <w:pPr>
              <w:spacing w:before="0" w:after="40" w:line="259" w:lineRule="auto"/>
            </w:pPr>
            <w:r/>
            <w:r>
              <w:rPr>
                <w:rFonts w:ascii="Consolas" w:hAnsi="Consolas"/>
                <w:b w:val="0"/>
                <w:color w:val="1F2937"/>
                <w:sz w:val="16"/>
              </w:rPr>
              <w:t>eligible(s,p) OR rejected(r,notBillableOrAlreadyPaid)</w:t>
            </w:r>
          </w:p>
        </w:tc>
      </w:tr>
      <w:tr>
        <w:trPr>
          <w:cantSplit/>
        </w:trPr>
        <w:tc>
          <w:tcPr>
            <w:tcW w:type="dxa" w:w="600"/>
            <w:tcMar>
              <w:top w:w="80" w:type="dxa"/>
              <w:bottom w:w="80" w:type="dxa"/>
              <w:start w:w="120" w:type="dxa"/>
              <w:end w:w="120" w:type="dxa"/>
            </w:tcMar>
            <w:vAlign w:val="center"/>
          </w:tcPr>
          <w:p>
            <w:pPr>
              <w:spacing w:before="0" w:after="40" w:line="259" w:lineRule="auto"/>
            </w:pPr>
            <w:r/>
            <w:r>
              <w:rPr>
                <w:rFonts w:ascii="Calibri" w:hAnsi="Calibri"/>
                <w:b w:val="0"/>
                <w:color w:val="1F2937"/>
                <w:sz w:val="16"/>
              </w:rPr>
              <w:t>B11</w:t>
            </w:r>
          </w:p>
        </w:tc>
        <w:tc>
          <w:tcPr>
            <w:tcW w:type="dxa" w:w="2400"/>
            <w:tcMar>
              <w:top w:w="80" w:type="dxa"/>
              <w:bottom w:w="80" w:type="dxa"/>
              <w:start w:w="120" w:type="dxa"/>
              <w:end w:w="120" w:type="dxa"/>
            </w:tcMar>
            <w:vAlign w:val="center"/>
          </w:tcPr>
          <w:p>
            <w:pPr>
              <w:spacing w:before="0" w:after="40" w:line="259" w:lineRule="auto"/>
            </w:pPr>
            <w:r/>
            <w:r>
              <w:rPr>
                <w:rFonts w:ascii="Calibri" w:hAnsi="Calibri"/>
                <w:b w:val="0"/>
                <w:color w:val="1F2937"/>
                <w:sz w:val="16"/>
              </w:rPr>
              <w:t>Reject Payment</w:t>
            </w:r>
          </w:p>
        </w:tc>
        <w:tc>
          <w:tcPr>
            <w:tcW w:type="dxa" w:w="6360"/>
            <w:tcMar>
              <w:top w:w="80" w:type="dxa"/>
              <w:bottom w:w="80" w:type="dxa"/>
              <w:start w:w="120" w:type="dxa"/>
              <w:end w:w="120" w:type="dxa"/>
            </w:tcMar>
            <w:vAlign w:val="center"/>
          </w:tcPr>
          <w:p>
            <w:pPr>
              <w:spacing w:before="0" w:after="40" w:line="259" w:lineRule="auto"/>
            </w:pPr>
            <w:r/>
            <w:r>
              <w:rPr>
                <w:rFonts w:ascii="Consolas" w:hAnsi="Consolas"/>
                <w:b w:val="0"/>
                <w:color w:val="1F2937"/>
                <w:sz w:val="16"/>
              </w:rPr>
              <w:t>rejectedPayment(p) ∧ paysFor(p,s) ∧ unpaid(s) ∧ event(activity=Reject Payment)</w:t>
            </w:r>
          </w:p>
        </w:tc>
      </w:tr>
      <w:tr>
        <w:trPr>
          <w:cantSplit/>
        </w:trPr>
        <w:tc>
          <w:tcPr>
            <w:tcW w:type="dxa" w:w="600"/>
            <w:tcMar>
              <w:top w:w="80" w:type="dxa"/>
              <w:bottom w:w="80" w:type="dxa"/>
              <w:start w:w="120" w:type="dxa"/>
              <w:end w:w="120" w:type="dxa"/>
            </w:tcMar>
            <w:vAlign w:val="center"/>
          </w:tcPr>
          <w:p>
            <w:pPr>
              <w:spacing w:before="0" w:after="40" w:line="259" w:lineRule="auto"/>
            </w:pPr>
            <w:r/>
            <w:r>
              <w:rPr>
                <w:rFonts w:ascii="Calibri" w:hAnsi="Calibri"/>
                <w:b w:val="0"/>
                <w:color w:val="1F2937"/>
                <w:sz w:val="16"/>
              </w:rPr>
              <w:t>B12</w:t>
            </w:r>
          </w:p>
        </w:tc>
        <w:tc>
          <w:tcPr>
            <w:tcW w:type="dxa" w:w="2400"/>
            <w:tcMar>
              <w:top w:w="80" w:type="dxa"/>
              <w:bottom w:w="80" w:type="dxa"/>
              <w:start w:w="120" w:type="dxa"/>
              <w:end w:w="120" w:type="dxa"/>
            </w:tcMar>
            <w:vAlign w:val="center"/>
          </w:tcPr>
          <w:p>
            <w:pPr>
              <w:spacing w:before="0" w:after="40" w:line="259" w:lineRule="auto"/>
            </w:pPr>
            <w:r/>
            <w:r>
              <w:rPr>
                <w:rFonts w:ascii="Calibri" w:hAnsi="Calibri"/>
                <w:b w:val="0"/>
                <w:color w:val="1F2937"/>
                <w:sz w:val="16"/>
              </w:rPr>
              <w:t>Initiate Payment</w:t>
            </w:r>
          </w:p>
        </w:tc>
        <w:tc>
          <w:tcPr>
            <w:tcW w:type="dxa" w:w="6360"/>
            <w:tcMar>
              <w:top w:w="80" w:type="dxa"/>
              <w:bottom w:w="80" w:type="dxa"/>
              <w:start w:w="120" w:type="dxa"/>
              <w:end w:w="120" w:type="dxa"/>
            </w:tcMar>
            <w:vAlign w:val="center"/>
          </w:tcPr>
          <w:p>
            <w:pPr>
              <w:spacing w:before="0" w:after="40" w:line="259" w:lineRule="auto"/>
            </w:pPr>
            <w:r/>
            <w:r>
              <w:rPr>
                <w:rFonts w:ascii="Consolas" w:hAnsi="Consolas"/>
                <w:b w:val="0"/>
                <w:color w:val="1F2937"/>
                <w:sz w:val="16"/>
              </w:rPr>
              <w:t>initiated(p) ∧ paysFor(p,s) ∧ method(p,m) ∧ event(activity=Initiate Payment)</w:t>
            </w:r>
          </w:p>
        </w:tc>
      </w:tr>
      <w:tr>
        <w:trPr>
          <w:cantSplit/>
        </w:trPr>
        <w:tc>
          <w:tcPr>
            <w:tcW w:type="dxa" w:w="600"/>
            <w:tcMar>
              <w:top w:w="80" w:type="dxa"/>
              <w:bottom w:w="80" w:type="dxa"/>
              <w:start w:w="120" w:type="dxa"/>
              <w:end w:w="120" w:type="dxa"/>
            </w:tcMar>
            <w:vAlign w:val="center"/>
          </w:tcPr>
          <w:p>
            <w:pPr>
              <w:spacing w:before="0" w:after="40" w:line="259" w:lineRule="auto"/>
            </w:pPr>
            <w:r/>
            <w:r>
              <w:rPr>
                <w:rFonts w:ascii="Calibri" w:hAnsi="Calibri"/>
                <w:b w:val="0"/>
                <w:color w:val="1F2937"/>
                <w:sz w:val="16"/>
              </w:rPr>
              <w:t>B13</w:t>
            </w:r>
          </w:p>
        </w:tc>
        <w:tc>
          <w:tcPr>
            <w:tcW w:type="dxa" w:w="2400"/>
            <w:tcMar>
              <w:top w:w="80" w:type="dxa"/>
              <w:bottom w:w="80" w:type="dxa"/>
              <w:start w:w="120" w:type="dxa"/>
              <w:end w:w="120" w:type="dxa"/>
            </w:tcMar>
            <w:vAlign w:val="center"/>
          </w:tcPr>
          <w:p>
            <w:pPr>
              <w:spacing w:before="0" w:after="40" w:line="259" w:lineRule="auto"/>
            </w:pPr>
            <w:r/>
            <w:r>
              <w:rPr>
                <w:rFonts w:ascii="Calibri" w:hAnsi="Calibri"/>
                <w:b w:val="0"/>
                <w:color w:val="1F2937"/>
                <w:sz w:val="16"/>
              </w:rPr>
              <w:t>Confirm Payment</w:t>
            </w:r>
          </w:p>
        </w:tc>
        <w:tc>
          <w:tcPr>
            <w:tcW w:type="dxa" w:w="6360"/>
            <w:tcMar>
              <w:top w:w="80" w:type="dxa"/>
              <w:bottom w:w="80" w:type="dxa"/>
              <w:start w:w="120" w:type="dxa"/>
              <w:end w:w="120" w:type="dxa"/>
            </w:tcMar>
            <w:vAlign w:val="center"/>
          </w:tcPr>
          <w:p>
            <w:pPr>
              <w:spacing w:before="0" w:after="40" w:line="259" w:lineRule="auto"/>
            </w:pPr>
            <w:r/>
            <w:r>
              <w:rPr>
                <w:rFonts w:ascii="Consolas" w:hAnsi="Consolas"/>
                <w:b w:val="0"/>
                <w:color w:val="1F2937"/>
                <w:sz w:val="16"/>
              </w:rPr>
              <w:t>completedPayment(p) ∧ paid(s) ∧ ¬unpaid(s) ∧ paidAt(p,t) ∧ event(activity=Confirm Payment)</w:t>
            </w:r>
          </w:p>
        </w:tc>
      </w:tr>
      <w:tr>
        <w:trPr>
          <w:cantSplit/>
        </w:trPr>
        <w:tc>
          <w:tcPr>
            <w:tcW w:type="dxa" w:w="600"/>
            <w:tcMar>
              <w:top w:w="80" w:type="dxa"/>
              <w:bottom w:w="80" w:type="dxa"/>
              <w:start w:w="120" w:type="dxa"/>
              <w:end w:w="120" w:type="dxa"/>
            </w:tcMar>
            <w:vAlign w:val="center"/>
          </w:tcPr>
          <w:p>
            <w:pPr>
              <w:spacing w:before="0" w:after="40" w:line="259" w:lineRule="auto"/>
            </w:pPr>
            <w:r/>
            <w:r>
              <w:rPr>
                <w:rFonts w:ascii="Calibri" w:hAnsi="Calibri"/>
                <w:b w:val="0"/>
                <w:color w:val="1F2937"/>
                <w:sz w:val="16"/>
              </w:rPr>
              <w:t>B14</w:t>
            </w:r>
          </w:p>
        </w:tc>
        <w:tc>
          <w:tcPr>
            <w:tcW w:type="dxa" w:w="2400"/>
            <w:tcMar>
              <w:top w:w="80" w:type="dxa"/>
              <w:bottom w:w="80" w:type="dxa"/>
              <w:start w:w="120" w:type="dxa"/>
              <w:end w:w="120" w:type="dxa"/>
            </w:tcMar>
            <w:vAlign w:val="center"/>
          </w:tcPr>
          <w:p>
            <w:pPr>
              <w:spacing w:before="0" w:after="40" w:line="259" w:lineRule="auto"/>
            </w:pPr>
            <w:r/>
            <w:r>
              <w:rPr>
                <w:rFonts w:ascii="Calibri" w:hAnsi="Calibri"/>
                <w:b w:val="0"/>
                <w:color w:val="1F2937"/>
                <w:sz w:val="16"/>
              </w:rPr>
              <w:t>Return rejection</w:t>
            </w:r>
          </w:p>
        </w:tc>
        <w:tc>
          <w:tcPr>
            <w:tcW w:type="dxa" w:w="6360"/>
            <w:tcMar>
              <w:top w:w="80" w:type="dxa"/>
              <w:bottom w:w="80" w:type="dxa"/>
              <w:start w:w="120" w:type="dxa"/>
              <w:end w:w="120" w:type="dxa"/>
            </w:tcMar>
            <w:vAlign w:val="center"/>
          </w:tcPr>
          <w:p>
            <w:pPr>
              <w:spacing w:before="0" w:after="40" w:line="259" w:lineRule="auto"/>
            </w:pPr>
            <w:r/>
            <w:r>
              <w:rPr>
                <w:rFonts w:ascii="Consolas" w:hAnsi="Consolas"/>
                <w:b w:val="0"/>
                <w:color w:val="1F2937"/>
                <w:sz w:val="16"/>
              </w:rPr>
              <w:t>delivered(q) ∧ errorResponse(q,paymentRejected)</w:t>
            </w:r>
          </w:p>
        </w:tc>
      </w:tr>
      <w:tr>
        <w:trPr>
          <w:cantSplit/>
        </w:trPr>
        <w:tc>
          <w:tcPr>
            <w:tcW w:type="dxa" w:w="600"/>
            <w:tcMar>
              <w:top w:w="80" w:type="dxa"/>
              <w:bottom w:w="80" w:type="dxa"/>
              <w:start w:w="120" w:type="dxa"/>
              <w:end w:w="120" w:type="dxa"/>
            </w:tcMar>
            <w:vAlign w:val="center"/>
          </w:tcPr>
          <w:p>
            <w:pPr>
              <w:spacing w:before="0" w:after="40" w:line="259" w:lineRule="auto"/>
            </w:pPr>
            <w:r/>
            <w:r>
              <w:rPr>
                <w:rFonts w:ascii="Calibri" w:hAnsi="Calibri"/>
                <w:b w:val="0"/>
                <w:color w:val="1F2937"/>
                <w:sz w:val="16"/>
              </w:rPr>
              <w:t>B15</w:t>
            </w:r>
          </w:p>
        </w:tc>
        <w:tc>
          <w:tcPr>
            <w:tcW w:type="dxa" w:w="2400"/>
            <w:tcMar>
              <w:top w:w="80" w:type="dxa"/>
              <w:bottom w:w="80" w:type="dxa"/>
              <w:start w:w="120" w:type="dxa"/>
              <w:end w:w="120" w:type="dxa"/>
            </w:tcMar>
            <w:vAlign w:val="center"/>
          </w:tcPr>
          <w:p>
            <w:pPr>
              <w:spacing w:before="0" w:after="40" w:line="259" w:lineRule="auto"/>
            </w:pPr>
            <w:r/>
            <w:r>
              <w:rPr>
                <w:rFonts w:ascii="Calibri" w:hAnsi="Calibri"/>
                <w:b w:val="0"/>
                <w:color w:val="1F2937"/>
                <w:sz w:val="16"/>
              </w:rPr>
              <w:t>Return receipt</w:t>
            </w:r>
          </w:p>
        </w:tc>
        <w:tc>
          <w:tcPr>
            <w:tcW w:type="dxa" w:w="6360"/>
            <w:tcMar>
              <w:top w:w="80" w:type="dxa"/>
              <w:bottom w:w="80" w:type="dxa"/>
              <w:start w:w="120" w:type="dxa"/>
              <w:end w:w="120" w:type="dxa"/>
            </w:tcMar>
            <w:vAlign w:val="center"/>
          </w:tcPr>
          <w:p>
            <w:pPr>
              <w:spacing w:before="0" w:after="40" w:line="259" w:lineRule="auto"/>
            </w:pPr>
            <w:r/>
            <w:r>
              <w:rPr>
                <w:rFonts w:ascii="Consolas" w:hAnsi="Consolas"/>
                <w:b w:val="0"/>
                <w:color w:val="1F2937"/>
                <w:sz w:val="16"/>
              </w:rPr>
              <w:t>delivered(q) ∧ contains(q,p) ∧ successful(q)</w:t>
            </w:r>
          </w:p>
        </w:tc>
      </w:tr>
    </w:tbl>
    <w:p>
      <w:pPr>
        <w:spacing w:before="0" w:after="0" w:line="140" w:lineRule="exact"/>
      </w:pPr>
      <w:r/>
    </w:p>
    <w:p>
      <w:pPr>
        <w:pStyle w:val="Heading2"/>
        <w:keepNext/>
      </w:pPr>
      <w:r>
        <w:rPr>
          <w:rFonts w:ascii="Calibri" w:hAnsi="Calibri"/>
          <w:b/>
          <w:color w:val="2E74B5"/>
          <w:sz w:val="26"/>
        </w:rPr>
        <w:t>7.3 Cumulative Effect Scenarios</w:t>
      </w:r>
    </w:p>
    <w:tbl>
      <w:tblPr>
        <w:tblStyle w:val="TableGrid"/>
        <w:tblW w:type="dxa" w:w="9360"/>
        <w:tblLook w:firstColumn="1" w:firstRow="1" w:lastColumn="0" w:lastRow="0" w:noHBand="0" w:noVBand="1" w:val="04A0"/>
        <w:tblInd w:w="120" w:type="dxa"/>
        <w:tblLayout w:type="fixed"/>
      </w:tblPr>
      <w:tblGrid>
        <w:gridCol w:w="9360"/>
      </w:tblGrid>
      <w:tr>
        <w:trPr>
          <w:cantSplit/>
        </w:trPr>
        <w:tc>
          <w:tcPr>
            <w:tcW w:type="dxa" w:w="9360"/>
            <w:shd w:fill="F2F4F7"/>
            <w:tcMar>
              <w:top w:w="80" w:type="dxa"/>
              <w:bottom w:w="80" w:type="dxa"/>
              <w:start w:w="120" w:type="dxa"/>
              <w:end w:w="120" w:type="dxa"/>
            </w:tcMar>
            <w:vAlign w:val="center"/>
          </w:tcPr>
          <w:p>
            <w:pPr>
              <w:spacing w:before="40" w:after="40" w:line="240" w:lineRule="auto"/>
            </w:pPr>
            <w:r/>
            <w:r>
              <w:rPr>
                <w:rFonts w:ascii="Calibri" w:hAnsi="Calibri"/>
                <w:b/>
                <w:color w:val="18364B"/>
                <w:sz w:val="18"/>
              </w:rPr>
              <w:t xml:space="preserve">Scenario PB-A (still active)  </w:t>
            </w:r>
            <w:r>
              <w:rPr>
                <w:rFonts w:ascii="Consolas" w:hAnsi="Consolas"/>
                <w:color w:val="1F2937"/>
                <w:sz w:val="18"/>
              </w:rPr>
              <w:t>&lt;B1,B3,B4&gt; : active(s) ∧ notDue(s) ∧ forVehicle(s,v) ∧ ownedBy(s,c) ∧ atLot(s,l)</w:t>
            </w:r>
          </w:p>
        </w:tc>
      </w:tr>
    </w:tbl>
    <w:p>
      <w:pPr>
        <w:spacing w:before="0" w:after="0" w:line="140" w:lineRule="exact"/>
      </w:pPr>
      <w:r/>
    </w:p>
    <w:tbl>
      <w:tblPr>
        <w:tblStyle w:val="TableGrid"/>
        <w:tblW w:type="dxa" w:w="9360"/>
        <w:tblLook w:firstColumn="1" w:firstRow="1" w:lastColumn="0" w:lastRow="0" w:noHBand="0" w:noVBand="1" w:val="04A0"/>
        <w:tblInd w:w="120" w:type="dxa"/>
        <w:tblLayout w:type="fixed"/>
      </w:tblPr>
      <w:tblGrid>
        <w:gridCol w:w="9360"/>
      </w:tblGrid>
      <w:tr>
        <w:trPr>
          <w:cantSplit/>
        </w:trPr>
        <w:tc>
          <w:tcPr>
            <w:tcW w:type="dxa" w:w="9360"/>
            <w:shd w:fill="F2F4F7"/>
            <w:tcMar>
              <w:top w:w="80" w:type="dxa"/>
              <w:bottom w:w="80" w:type="dxa"/>
              <w:start w:w="120" w:type="dxa"/>
              <w:end w:w="120" w:type="dxa"/>
            </w:tcMar>
            <w:vAlign w:val="center"/>
          </w:tcPr>
          <w:p>
            <w:pPr>
              <w:spacing w:before="40" w:after="40" w:line="240" w:lineRule="auto"/>
            </w:pPr>
            <w:r/>
            <w:r>
              <w:rPr>
                <w:rFonts w:ascii="Calibri" w:hAnsi="Calibri"/>
                <w:b/>
                <w:color w:val="18364B"/>
                <w:sz w:val="18"/>
              </w:rPr>
              <w:t xml:space="preserve">Scenario PB-U (ended and unpaid)  </w:t>
            </w:r>
            <w:r>
              <w:rPr>
                <w:rFonts w:ascii="Consolas" w:hAnsi="Consolas"/>
                <w:color w:val="1F2937"/>
                <w:sz w:val="18"/>
              </w:rPr>
              <w:t>&lt;B1,B3,B4,B5,B7,B8,B9&gt; : completed(s) ∧ ¬active(s) ∧ duration(s,d) ∧ calculated(f) ∧ amount(f,a) ∧ currency(f,AUD) ∧ unpaid(s)</w:t>
            </w:r>
          </w:p>
        </w:tc>
      </w:tr>
    </w:tbl>
    <w:p>
      <w:pPr>
        <w:spacing w:before="0" w:after="0" w:line="140" w:lineRule="exact"/>
      </w:pPr>
      <w:r/>
    </w:p>
    <w:tbl>
      <w:tblPr>
        <w:tblStyle w:val="TableGrid"/>
        <w:tblW w:type="dxa" w:w="9360"/>
        <w:tblLook w:firstColumn="1" w:firstRow="1" w:lastColumn="0" w:lastRow="0" w:noHBand="0" w:noVBand="1" w:val="04A0"/>
        <w:tblInd w:w="120" w:type="dxa"/>
        <w:tblLayout w:type="fixed"/>
      </w:tblPr>
      <w:tblGrid>
        <w:gridCol w:w="9360"/>
      </w:tblGrid>
      <w:tr>
        <w:trPr>
          <w:cantSplit/>
        </w:trPr>
        <w:tc>
          <w:tcPr>
            <w:tcW w:type="dxa" w:w="9360"/>
            <w:shd w:fill="F2F4F7"/>
            <w:tcMar>
              <w:top w:w="80" w:type="dxa"/>
              <w:bottom w:w="80" w:type="dxa"/>
              <w:start w:w="120" w:type="dxa"/>
              <w:end w:w="120" w:type="dxa"/>
            </w:tcMar>
            <w:vAlign w:val="center"/>
          </w:tcPr>
          <w:p>
            <w:pPr>
              <w:spacing w:before="40" w:after="40" w:line="240" w:lineRule="auto"/>
            </w:pPr>
            <w:r/>
            <w:r>
              <w:rPr>
                <w:rFonts w:ascii="Calibri" w:hAnsi="Calibri"/>
                <w:b/>
                <w:color w:val="18364B"/>
                <w:sz w:val="18"/>
              </w:rPr>
              <w:t xml:space="preserve">Scenario PB-P (paid normal path)  </w:t>
            </w:r>
            <w:r>
              <w:rPr>
                <w:rFonts w:ascii="Consolas" w:hAnsi="Consolas"/>
                <w:color w:val="1F2937"/>
                <w:sz w:val="18"/>
              </w:rPr>
              <w:t>&lt;B1,B3,B4,B5,B7,B8,B9,B10,B12,B13,B15&gt; : completed(s) ∧ completedPayment(p) ∧ paysFor(p,s) ∧ paid(s) ∧ ¬unpaid(s) ∧ delivered(receipt)</w:t>
            </w:r>
          </w:p>
        </w:tc>
      </w:tr>
    </w:tbl>
    <w:p>
      <w:pPr>
        <w:spacing w:before="0" w:after="0" w:line="140" w:lineRule="exact"/>
      </w:pPr>
      <w:r/>
    </w:p>
    <w:tbl>
      <w:tblPr>
        <w:tblStyle w:val="TableGrid"/>
        <w:tblW w:type="dxa" w:w="9360"/>
        <w:tblLook w:firstColumn="1" w:firstRow="1" w:lastColumn="0" w:lastRow="0" w:noHBand="0" w:noVBand="1" w:val="04A0"/>
        <w:tblInd w:w="120" w:type="dxa"/>
        <w:tblLayout w:type="fixed"/>
      </w:tblPr>
      <w:tblGrid>
        <w:gridCol w:w="9360"/>
      </w:tblGrid>
      <w:tr>
        <w:trPr>
          <w:cantSplit/>
        </w:trPr>
        <w:tc>
          <w:tcPr>
            <w:tcW w:type="dxa" w:w="9360"/>
            <w:shd w:fill="F2F4F7"/>
            <w:tcMar>
              <w:top w:w="80" w:type="dxa"/>
              <w:bottom w:w="80" w:type="dxa"/>
              <w:start w:w="120" w:type="dxa"/>
              <w:end w:w="120" w:type="dxa"/>
            </w:tcMar>
            <w:vAlign w:val="center"/>
          </w:tcPr>
          <w:p>
            <w:pPr>
              <w:spacing w:before="40" w:after="40" w:line="240" w:lineRule="auto"/>
            </w:pPr>
            <w:r/>
            <w:r>
              <w:rPr>
                <w:rFonts w:ascii="Calibri" w:hAnsi="Calibri"/>
                <w:b/>
                <w:color w:val="18364B"/>
                <w:sz w:val="18"/>
              </w:rPr>
              <w:t xml:space="preserve">Scenario PB-R (payment rejected)  </w:t>
            </w:r>
            <w:r>
              <w:rPr>
                <w:rFonts w:ascii="Consolas" w:hAnsi="Consolas"/>
                <w:color w:val="1F2937"/>
                <w:sz w:val="18"/>
              </w:rPr>
              <w:t>&lt;B1,B3,B4,B5,B7,B8,B9,B10,B11,B14&gt; : completed(s) ∧ rejectedPayment(p) ∧ unpaid(s) ∧ ¬paid(s) ∧ delivered(rejection)</w:t>
            </w:r>
          </w:p>
        </w:tc>
      </w:tr>
    </w:tbl>
    <w:p>
      <w:pPr>
        <w:spacing w:before="0" w:after="0" w:line="140" w:lineRule="exact"/>
      </w:pPr>
      <w:r/>
    </w:p>
    <w:tbl>
      <w:tblPr>
        <w:tblStyle w:val="TableGrid"/>
        <w:tblW w:type="dxa" w:w="9360"/>
        <w:tblLook w:firstColumn="1" w:firstRow="1" w:lastColumn="0" w:lastRow="0" w:noHBand="0" w:noVBand="1" w:val="04A0"/>
        <w:tblInd w:w="120" w:type="dxa"/>
        <w:tblLayout w:type="fixed"/>
      </w:tblPr>
      <w:tblGrid>
        <w:gridCol w:w="9360"/>
      </w:tblGrid>
      <w:tr>
        <w:trPr>
          <w:cantSplit/>
        </w:trPr>
        <w:tc>
          <w:tcPr>
            <w:tcW w:type="dxa" w:w="9360"/>
            <w:shd w:fill="F2F4F7"/>
            <w:tcMar>
              <w:top w:w="80" w:type="dxa"/>
              <w:bottom w:w="80" w:type="dxa"/>
              <w:start w:w="120" w:type="dxa"/>
              <w:end w:w="120" w:type="dxa"/>
            </w:tcMar>
            <w:vAlign w:val="center"/>
          </w:tcPr>
          <w:p>
            <w:pPr>
              <w:spacing w:before="40" w:after="40" w:line="240" w:lineRule="auto"/>
            </w:pPr>
            <w:r/>
            <w:r>
              <w:rPr>
                <w:rFonts w:ascii="Calibri" w:hAnsi="Calibri"/>
                <w:b/>
                <w:color w:val="18364B"/>
                <w:sz w:val="18"/>
              </w:rPr>
              <w:t xml:space="preserve">Scenario PB-E (request/state error)  </w:t>
            </w:r>
            <w:r>
              <w:rPr>
                <w:rFonts w:ascii="Consolas" w:hAnsi="Consolas"/>
                <w:color w:val="1F2937"/>
                <w:sz w:val="18"/>
              </w:rPr>
              <w:t>&lt;B1,B2&gt; OR &lt;B5,B6&gt; OR &lt;B10,B14&gt; : errorResponse(q,code) ∧ delivered(q) ∧ noInvalidTransitionApplied(r)</w:t>
            </w:r>
          </w:p>
        </w:tc>
      </w:tr>
    </w:tbl>
    <w:p>
      <w:pPr>
        <w:spacing w:before="0" w:after="0" w:line="140" w:lineRule="exact"/>
      </w:pPr>
      <w:r/>
    </w:p>
    <w:tbl>
      <w:tblPr>
        <w:tblStyle w:val="TableGrid"/>
        <w:tblW w:type="dxa" w:w="9360"/>
        <w:tblLook w:firstColumn="1" w:firstRow="1" w:lastColumn="0" w:lastRow="0" w:noHBand="0" w:noVBand="1" w:val="04A0"/>
        <w:tblInd w:w="120" w:type="dxa"/>
        <w:tblLayout w:type="fixed"/>
      </w:tblPr>
      <w:tblGrid>
        <w:gridCol w:w="9360"/>
      </w:tblGrid>
      <w:tr>
        <w:trPr>
          <w:cantSplit/>
        </w:trPr>
        <w:tc>
          <w:tcPr>
            <w:tcW w:type="dxa" w:w="9360"/>
            <w:shd w:fill="FFF4D6"/>
            <w:tcMar>
              <w:top w:w="80" w:type="dxa"/>
              <w:bottom w:w="80" w:type="dxa"/>
              <w:start w:w="120" w:type="dxa"/>
              <w:end w:w="120" w:type="dxa"/>
            </w:tcMar>
            <w:vAlign w:val="center"/>
          </w:tcPr>
          <w:p>
            <w:pPr>
              <w:spacing w:before="40" w:after="40" w:line="276" w:lineRule="auto"/>
            </w:pPr>
            <w:r/>
            <w:r>
              <w:rPr>
                <w:rFonts w:ascii="Calibri" w:hAnsi="Calibri"/>
                <w:b/>
                <w:color w:val="18364B"/>
                <w:sz w:val="20"/>
              </w:rPr>
              <w:t xml:space="preserve">Exclude sets: </w:t>
            </w:r>
            <w:r>
              <w:rPr>
                <w:rFonts w:ascii="Calibri" w:hAnsi="Calibri"/>
                <w:color w:val="1F2937"/>
                <w:sz w:val="20"/>
              </w:rPr>
              <w:t>PB-P excludes PB-R and PB-E for the same payment attempt. PB-R excludes PB-P. PB-A is a prefix state, not a contradiction: it remains current until a valid end request extends the case to PB-U; PB-U remains current until a valid payment extends it to PB-P or the simulated failure produces PB-R.</w:t>
            </w:r>
          </w:p>
        </w:tc>
      </w:tr>
    </w:tbl>
    <w:p>
      <w:pPr>
        <w:spacing w:before="0" w:after="0" w:line="140" w:lineRule="exact"/>
      </w:pPr>
      <w:r/>
    </w:p>
    <w:p>
      <w:pPr>
        <w:pStyle w:val="Heading1"/>
        <w:keepNext/>
      </w:pPr>
      <w:r>
        <w:rPr>
          <w:rFonts w:ascii="Calibri" w:hAnsi="Calibri"/>
          <w:b/>
          <w:color w:val="2E74B5"/>
          <w:sz w:val="32"/>
        </w:rPr>
        <w:t>8. Traceability and Acceptance Evidence</w:t>
      </w:r>
    </w:p>
    <w:tbl>
      <w:tblPr>
        <w:tblStyle w:val="TableGrid"/>
        <w:tblW w:type="dxa" w:w="9360"/>
        <w:tblLook w:firstColumn="1" w:firstRow="1" w:lastColumn="0" w:lastRow="0" w:noHBand="0" w:noVBand="1" w:val="04A0"/>
        <w:tblInd w:w="120" w:type="dxa"/>
        <w:tblLayout w:type="fixed"/>
      </w:tblPr>
      <w:tblGrid>
        <w:gridCol w:w="2400"/>
        <w:gridCol w:w="3250"/>
        <w:gridCol w:w="3710"/>
      </w:tblGrid>
      <w:tr>
        <w:trPr>
          <w:tblHeader w:val="true"/>
          <w:cantSplit/>
        </w:trPr>
        <w:tc>
          <w:tcPr>
            <w:tcW w:type="dxa" w:w="240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7"/>
              </w:rPr>
              <w:t>Requirement</w:t>
            </w:r>
          </w:p>
        </w:tc>
        <w:tc>
          <w:tcPr>
            <w:tcW w:type="dxa" w:w="325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7"/>
              </w:rPr>
              <w:t>BSRL/BPMN evidence</w:t>
            </w:r>
          </w:p>
        </w:tc>
        <w:tc>
          <w:tcPr>
            <w:tcW w:type="dxa" w:w="3710"/>
            <w:shd w:fill="E8EEF5"/>
            <w:tcMar>
              <w:top w:w="80" w:type="dxa"/>
              <w:bottom w:w="80" w:type="dxa"/>
              <w:start w:w="120" w:type="dxa"/>
              <w:end w:w="120" w:type="dxa"/>
            </w:tcMar>
            <w:vAlign w:val="center"/>
          </w:tcPr>
          <w:p>
            <w:pPr>
              <w:spacing w:before="0" w:after="40" w:line="259" w:lineRule="auto"/>
            </w:pPr>
            <w:r/>
            <w:r>
              <w:rPr>
                <w:rFonts w:ascii="Calibri" w:hAnsi="Calibri"/>
                <w:b/>
                <w:color w:val="1F2937"/>
                <w:sz w:val="17"/>
              </w:rPr>
              <w:t>Implementation evidence</w:t>
            </w:r>
          </w:p>
        </w:tc>
      </w:tr>
      <w:tr>
        <w:trPr>
          <w:cantSplit/>
        </w:trPr>
        <w:tc>
          <w:tcPr>
            <w:tcW w:type="dxa" w:w="24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List and query parking lots</w:t>
            </w:r>
          </w:p>
        </w:tc>
        <w:tc>
          <w:tcPr>
            <w:tcW w:type="dxa" w:w="3250"/>
            <w:tcMar>
              <w:top w:w="80" w:type="dxa"/>
              <w:bottom w:w="80" w:type="dxa"/>
              <w:start w:w="120" w:type="dxa"/>
              <w:end w:w="120" w:type="dxa"/>
            </w:tcMar>
            <w:vAlign w:val="center"/>
          </w:tcPr>
          <w:p>
            <w:pPr>
              <w:spacing w:before="0" w:after="40" w:line="259" w:lineRule="auto"/>
            </w:pPr>
            <w:r/>
            <w:r>
              <w:rPr>
                <w:rFonts w:ascii="Calibri" w:hAnsi="Calibri"/>
                <w:b w:val="0"/>
                <w:color w:val="1F2937"/>
                <w:sz w:val="17"/>
              </w:rPr>
              <w:t>Availability BSRL operations; Figure 1 query branch; AV-Q</w:t>
            </w:r>
          </w:p>
        </w:tc>
        <w:tc>
          <w:tcPr>
            <w:tcW w:type="dxa" w:w="3710"/>
            <w:tcMar>
              <w:top w:w="80" w:type="dxa"/>
              <w:bottom w:w="80" w:type="dxa"/>
              <w:start w:w="120" w:type="dxa"/>
              <w:end w:w="120" w:type="dxa"/>
            </w:tcMar>
            <w:vAlign w:val="center"/>
          </w:tcPr>
          <w:p>
            <w:pPr>
              <w:spacing w:before="0" w:after="40" w:line="259" w:lineRule="auto"/>
            </w:pPr>
            <w:r/>
            <w:r>
              <w:rPr>
                <w:rFonts w:ascii="Calibri" w:hAnsi="Calibri"/>
                <w:b w:val="0"/>
                <w:color w:val="1F2937"/>
                <w:sz w:val="17"/>
              </w:rPr>
              <w:t>GET /api/v1/parking-lots and GET /api/v1/parking-lots/{lot_id}</w:t>
            </w:r>
          </w:p>
        </w:tc>
      </w:tr>
      <w:tr>
        <w:trPr>
          <w:cantSplit/>
        </w:trPr>
        <w:tc>
          <w:tcPr>
            <w:tcW w:type="dxa" w:w="24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Repeatable availability update</w:t>
            </w:r>
          </w:p>
        </w:tc>
        <w:tc>
          <w:tcPr>
            <w:tcW w:type="dxa" w:w="3250"/>
            <w:tcMar>
              <w:top w:w="80" w:type="dxa"/>
              <w:bottom w:w="80" w:type="dxa"/>
              <w:start w:w="120" w:type="dxa"/>
              <w:end w:w="120" w:type="dxa"/>
            </w:tcMar>
            <w:vAlign w:val="center"/>
          </w:tcPr>
          <w:p>
            <w:pPr>
              <w:spacing w:before="0" w:after="40" w:line="259" w:lineRule="auto"/>
            </w:pPr>
            <w:r/>
            <w:r>
              <w:rPr>
                <w:rFonts w:ascii="Calibri" w:hAnsi="Calibri"/>
                <w:b w:val="0"/>
                <w:color w:val="1F2937"/>
                <w:sz w:val="17"/>
              </w:rPr>
              <w:t>Availability update conditions; Figure 1 update branch; AV-U/AV-E</w:t>
            </w:r>
          </w:p>
        </w:tc>
        <w:tc>
          <w:tcPr>
            <w:tcW w:type="dxa" w:w="3710"/>
            <w:tcMar>
              <w:top w:w="80" w:type="dxa"/>
              <w:bottom w:w="80" w:type="dxa"/>
              <w:start w:w="120" w:type="dxa"/>
              <w:end w:w="120" w:type="dxa"/>
            </w:tcMar>
            <w:vAlign w:val="center"/>
          </w:tcPr>
          <w:p>
            <w:pPr>
              <w:spacing w:before="0" w:after="40" w:line="259" w:lineRule="auto"/>
            </w:pPr>
            <w:r/>
            <w:r>
              <w:rPr>
                <w:rFonts w:ascii="Calibri" w:hAnsi="Calibri"/>
                <w:b w:val="0"/>
                <w:color w:val="1F2937"/>
                <w:sz w:val="17"/>
              </w:rPr>
              <w:t>PATCH /api/v1/parking-lots/{lot_id}/availability; SQLite persistence</w:t>
            </w:r>
          </w:p>
        </w:tc>
      </w:tr>
      <w:tr>
        <w:trPr>
          <w:cantSplit/>
        </w:trPr>
        <w:tc>
          <w:tcPr>
            <w:tcW w:type="dxa" w:w="24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Selected microservice</w:t>
            </w:r>
          </w:p>
        </w:tc>
        <w:tc>
          <w:tcPr>
            <w:tcW w:type="dxa" w:w="3250"/>
            <w:tcMar>
              <w:top w:w="80" w:type="dxa"/>
              <w:bottom w:w="80" w:type="dxa"/>
              <w:start w:w="120" w:type="dxa"/>
              <w:end w:w="120" w:type="dxa"/>
            </w:tcMar>
            <w:vAlign w:val="center"/>
          </w:tcPr>
          <w:p>
            <w:pPr>
              <w:spacing w:before="0" w:after="40" w:line="259" w:lineRule="auto"/>
            </w:pPr>
            <w:r/>
            <w:r>
              <w:rPr>
                <w:rFonts w:ascii="Calibri" w:hAnsi="Calibri"/>
                <w:b w:val="0"/>
                <w:color w:val="1F2937"/>
                <w:sz w:val="17"/>
              </w:rPr>
              <w:t>Availability resource/QoS factors</w:t>
            </w:r>
          </w:p>
        </w:tc>
        <w:tc>
          <w:tcPr>
            <w:tcW w:type="dxa" w:w="3710"/>
            <w:tcMar>
              <w:top w:w="80" w:type="dxa"/>
              <w:bottom w:w="80" w:type="dxa"/>
              <w:start w:w="120" w:type="dxa"/>
              <w:end w:w="120" w:type="dxa"/>
            </w:tcMar>
            <w:vAlign w:val="center"/>
          </w:tcPr>
          <w:p>
            <w:pPr>
              <w:spacing w:before="0" w:after="40" w:line="259" w:lineRule="auto"/>
            </w:pPr>
            <w:r/>
            <w:r>
              <w:rPr>
                <w:rFonts w:ascii="Calibri" w:hAnsi="Calibri"/>
                <w:b w:val="0"/>
                <w:color w:val="1F2937"/>
                <w:sz w:val="17"/>
              </w:rPr>
              <w:t>Independent Dockerfile, dependency file, SQLite store, /health, port 8301</w:t>
            </w:r>
          </w:p>
        </w:tc>
      </w:tr>
      <w:tr>
        <w:trPr>
          <w:cantSplit/>
        </w:trPr>
        <w:tc>
          <w:tcPr>
            <w:tcW w:type="dxa" w:w="24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Create/query session</w:t>
            </w:r>
          </w:p>
        </w:tc>
        <w:tc>
          <w:tcPr>
            <w:tcW w:type="dxa" w:w="3250"/>
            <w:tcMar>
              <w:top w:w="80" w:type="dxa"/>
              <w:bottom w:w="80" w:type="dxa"/>
              <w:start w:w="120" w:type="dxa"/>
              <w:end w:w="120" w:type="dxa"/>
            </w:tcMar>
            <w:vAlign w:val="center"/>
          </w:tcPr>
          <w:p>
            <w:pPr>
              <w:spacing w:before="0" w:after="40" w:line="259" w:lineRule="auto"/>
            </w:pPr>
            <w:r/>
            <w:r>
              <w:rPr>
                <w:rFonts w:ascii="Calibri" w:hAnsi="Calibri"/>
                <w:b w:val="0"/>
                <w:color w:val="1F2937"/>
                <w:sz w:val="17"/>
              </w:rPr>
              <w:t>Billing BSRL; Figure 2 entry stage; PB-A</w:t>
            </w:r>
          </w:p>
        </w:tc>
        <w:tc>
          <w:tcPr>
            <w:tcW w:type="dxa" w:w="3710"/>
            <w:tcMar>
              <w:top w:w="80" w:type="dxa"/>
              <w:bottom w:w="80" w:type="dxa"/>
              <w:start w:w="120" w:type="dxa"/>
              <w:end w:w="120" w:type="dxa"/>
            </w:tcMar>
            <w:vAlign w:val="center"/>
          </w:tcPr>
          <w:p>
            <w:pPr>
              <w:spacing w:before="0" w:after="40" w:line="259" w:lineRule="auto"/>
            </w:pPr>
            <w:r/>
            <w:r>
              <w:rPr>
                <w:rFonts w:ascii="Calibri" w:hAnsi="Calibri"/>
                <w:b w:val="0"/>
                <w:color w:val="1F2937"/>
                <w:sz w:val="17"/>
              </w:rPr>
              <w:t>POST/GET parking-sessions; duplicate-active guard</w:t>
            </w:r>
          </w:p>
        </w:tc>
      </w:tr>
      <w:tr>
        <w:trPr>
          <w:cantSplit/>
        </w:trPr>
        <w:tc>
          <w:tcPr>
            <w:tcW w:type="dxa" w:w="24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End and calculate</w:t>
            </w:r>
          </w:p>
        </w:tc>
        <w:tc>
          <w:tcPr>
            <w:tcW w:type="dxa" w:w="3250"/>
            <w:tcMar>
              <w:top w:w="80" w:type="dxa"/>
              <w:bottom w:w="80" w:type="dxa"/>
              <w:start w:w="120" w:type="dxa"/>
              <w:end w:w="120" w:type="dxa"/>
            </w:tcMar>
            <w:vAlign w:val="center"/>
          </w:tcPr>
          <w:p>
            <w:pPr>
              <w:spacing w:before="0" w:after="40" w:line="259" w:lineRule="auto"/>
            </w:pPr>
            <w:r/>
            <w:r>
              <w:rPr>
                <w:rFonts w:ascii="Calibri" w:hAnsi="Calibri"/>
                <w:b w:val="0"/>
                <w:color w:val="1F2937"/>
                <w:sz w:val="17"/>
              </w:rPr>
              <w:t>Billing key steps; B7-B9; PB-U</w:t>
            </w:r>
          </w:p>
        </w:tc>
        <w:tc>
          <w:tcPr>
            <w:tcW w:type="dxa" w:w="3710"/>
            <w:tcMar>
              <w:top w:w="80" w:type="dxa"/>
              <w:bottom w:w="80" w:type="dxa"/>
              <w:start w:w="120" w:type="dxa"/>
              <w:end w:w="120" w:type="dxa"/>
            </w:tcMar>
            <w:vAlign w:val="center"/>
          </w:tcPr>
          <w:p>
            <w:pPr>
              <w:spacing w:before="0" w:after="40" w:line="259" w:lineRule="auto"/>
            </w:pPr>
            <w:r/>
            <w:r>
              <w:rPr>
                <w:rFonts w:ascii="Calibri" w:hAnsi="Calibri"/>
                <w:b w:val="0"/>
                <w:color w:val="1F2937"/>
                <w:sz w:val="17"/>
              </w:rPr>
              <w:t>End endpoint; ceiling-hour AUD 4.00 tariff; AUD 40.00 cap</w:t>
            </w:r>
          </w:p>
        </w:tc>
      </w:tr>
      <w:tr>
        <w:trPr>
          <w:cantSplit/>
        </w:trPr>
        <w:tc>
          <w:tcPr>
            <w:tcW w:type="dxa" w:w="24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Eligible payment</w:t>
            </w:r>
          </w:p>
        </w:tc>
        <w:tc>
          <w:tcPr>
            <w:tcW w:type="dxa" w:w="3250"/>
            <w:tcMar>
              <w:top w:w="80" w:type="dxa"/>
              <w:bottom w:w="80" w:type="dxa"/>
              <w:start w:w="120" w:type="dxa"/>
              <w:end w:w="120" w:type="dxa"/>
            </w:tcMar>
            <w:vAlign w:val="center"/>
          </w:tcPr>
          <w:p>
            <w:pPr>
              <w:spacing w:before="0" w:after="40" w:line="259" w:lineRule="auto"/>
            </w:pPr>
            <w:r/>
            <w:r>
              <w:rPr>
                <w:rFonts w:ascii="Calibri" w:hAnsi="Calibri"/>
                <w:b w:val="0"/>
                <w:color w:val="1F2937"/>
                <w:sz w:val="17"/>
              </w:rPr>
              <w:t>B10-B15; PB-P/PB-R</w:t>
            </w:r>
          </w:p>
        </w:tc>
        <w:tc>
          <w:tcPr>
            <w:tcW w:type="dxa" w:w="3710"/>
            <w:tcMar>
              <w:top w:w="80" w:type="dxa"/>
              <w:bottom w:w="80" w:type="dxa"/>
              <w:start w:w="120" w:type="dxa"/>
              <w:end w:w="120" w:type="dxa"/>
            </w:tcMar>
            <w:vAlign w:val="center"/>
          </w:tcPr>
          <w:p>
            <w:pPr>
              <w:spacing w:before="0" w:after="40" w:line="259" w:lineRule="auto"/>
            </w:pPr>
            <w:r/>
            <w:r>
              <w:rPr>
                <w:rFonts w:ascii="Calibri" w:hAnsi="Calibri"/>
                <w:b w:val="0"/>
                <w:color w:val="1F2937"/>
                <w:sz w:val="17"/>
              </w:rPr>
              <w:t>POST parking-payments; completed/unpaid eligibility; duplicate-payment guard</w:t>
            </w:r>
          </w:p>
        </w:tc>
      </w:tr>
      <w:tr>
        <w:trPr>
          <w:cantSplit/>
        </w:trPr>
        <w:tc>
          <w:tcPr>
            <w:tcW w:type="dxa" w:w="2400"/>
            <w:tcMar>
              <w:top w:w="80" w:type="dxa"/>
              <w:bottom w:w="80" w:type="dxa"/>
              <w:start w:w="120" w:type="dxa"/>
              <w:end w:w="120" w:type="dxa"/>
            </w:tcMar>
            <w:vAlign w:val="center"/>
          </w:tcPr>
          <w:p>
            <w:pPr>
              <w:spacing w:before="0" w:after="40" w:line="259" w:lineRule="auto"/>
            </w:pPr>
            <w:r/>
            <w:r>
              <w:rPr>
                <w:rFonts w:ascii="Calibri" w:hAnsi="Calibri"/>
                <w:b w:val="0"/>
                <w:color w:val="1F2937"/>
                <w:sz w:val="17"/>
              </w:rPr>
              <w:t>Process-event handoff</w:t>
            </w:r>
          </w:p>
        </w:tc>
        <w:tc>
          <w:tcPr>
            <w:tcW w:type="dxa" w:w="3250"/>
            <w:tcMar>
              <w:top w:w="80" w:type="dxa"/>
              <w:bottom w:w="80" w:type="dxa"/>
              <w:start w:w="120" w:type="dxa"/>
              <w:end w:w="120" w:type="dxa"/>
            </w:tcMar>
            <w:vAlign w:val="center"/>
          </w:tcPr>
          <w:p>
            <w:pPr>
              <w:spacing w:before="0" w:after="40" w:line="259" w:lineRule="auto"/>
            </w:pPr>
            <w:r/>
            <w:r>
              <w:rPr>
                <w:rFonts w:ascii="Calibri" w:hAnsi="Calibri"/>
                <w:b w:val="0"/>
                <w:color w:val="1F2937"/>
                <w:sz w:val="17"/>
              </w:rPr>
              <w:t>Frozen task names in Figure 2 and semantic effects</w:t>
            </w:r>
          </w:p>
        </w:tc>
        <w:tc>
          <w:tcPr>
            <w:tcW w:type="dxa" w:w="3710"/>
            <w:tcMar>
              <w:top w:w="80" w:type="dxa"/>
              <w:bottom w:w="80" w:type="dxa"/>
              <w:start w:w="120" w:type="dxa"/>
              <w:end w:w="120" w:type="dxa"/>
            </w:tcMar>
            <w:vAlign w:val="center"/>
          </w:tcPr>
          <w:p>
            <w:pPr>
              <w:spacing w:before="0" w:after="40" w:line="259" w:lineRule="auto"/>
            </w:pPr>
            <w:r/>
            <w:r>
              <w:rPr>
                <w:rFonts w:ascii="Calibri" w:hAnsi="Calibri"/>
                <w:b w:val="0"/>
                <w:color w:val="1F2937"/>
                <w:sz w:val="17"/>
              </w:rPr>
              <w:t>events endpoint, activity_dictionary.json and deterministic simulated CSV generator</w:t>
            </w:r>
          </w:p>
        </w:tc>
      </w:tr>
    </w:tbl>
    <w:p>
      <w:pPr>
        <w:spacing w:before="0" w:after="0" w:line="140" w:lineRule="exact"/>
      </w:pPr>
      <w:r/>
    </w:p>
    <w:tbl>
      <w:tblPr>
        <w:tblStyle w:val="TableGrid"/>
        <w:tblW w:type="dxa" w:w="9360"/>
        <w:tblLook w:firstColumn="1" w:firstRow="1" w:lastColumn="0" w:lastRow="0" w:noHBand="0" w:noVBand="1" w:val="04A0"/>
        <w:tblInd w:w="120" w:type="dxa"/>
        <w:tblLayout w:type="fixed"/>
      </w:tblPr>
      <w:tblGrid>
        <w:gridCol w:w="9360"/>
      </w:tblGrid>
      <w:tr>
        <w:trPr>
          <w:cantSplit/>
        </w:trPr>
        <w:tc>
          <w:tcPr>
            <w:tcW w:type="dxa" w:w="9360"/>
            <w:shd w:fill="E9F4EE"/>
            <w:tcMar>
              <w:top w:w="80" w:type="dxa"/>
              <w:bottom w:w="80" w:type="dxa"/>
              <w:start w:w="120" w:type="dxa"/>
              <w:end w:w="120" w:type="dxa"/>
            </w:tcMar>
            <w:vAlign w:val="center"/>
          </w:tcPr>
          <w:p>
            <w:pPr>
              <w:spacing w:before="40" w:after="40" w:line="276" w:lineRule="auto"/>
            </w:pPr>
            <w:r/>
            <w:r>
              <w:rPr>
                <w:rFonts w:ascii="Calibri" w:hAnsi="Calibri"/>
                <w:b/>
                <w:color w:val="18364B"/>
                <w:sz w:val="20"/>
              </w:rPr>
              <w:t xml:space="preserve">Acceptance conclusion: </w:t>
            </w:r>
            <w:r>
              <w:rPr>
                <w:rFonts w:ascii="Calibri" w:hAnsi="Calibri"/>
                <w:color w:val="1F2937"/>
                <w:sz w:val="20"/>
              </w:rPr>
              <w:t>The two service descriptions, two collaboration diagrams and their semantic annotations are consistent with the implemented contracts and state transitions. They are suitable for insertion into the team Master Report, subject only to the team's final document numbering and visual style.</w:t>
            </w:r>
          </w:p>
        </w:tc>
      </w:tr>
    </w:tbl>
    <w:p>
      <w:pPr>
        <w:spacing w:before="0" w:after="0" w:line="140" w:lineRule="exact"/>
      </w:pPr>
      <w:r/>
    </w:p>
    <w:p>
      <w:pPr>
        <w:pStyle w:val="Heading1"/>
        <w:keepNext/>
      </w:pPr>
      <w:r>
        <w:rPr>
          <w:rFonts w:ascii="Calibri" w:hAnsi="Calibri"/>
          <w:b/>
          <w:color w:val="2E74B5"/>
          <w:sz w:val="32"/>
        </w:rPr>
        <w:t>9. References</w:t>
      </w:r>
    </w:p>
    <w:p>
      <w:pPr>
        <w:spacing w:after="100"/>
        <w:ind w:left="259" w:hanging="259"/>
      </w:pPr>
      <w:r>
        <w:rPr>
          <w:rFonts w:ascii="Calibri" w:hAnsi="Calibri"/>
          <w:color w:val="1F2937"/>
          <w:sz w:val="20"/>
        </w:rPr>
        <w:t>[1] CSCI927, Subject Introduction - SOC Preliminaries, lecture slides.</w:t>
      </w:r>
    </w:p>
    <w:p>
      <w:pPr>
        <w:spacing w:after="100"/>
        <w:ind w:left="259" w:hanging="259"/>
      </w:pPr>
      <w:r>
        <w:rPr>
          <w:rFonts w:ascii="Calibri" w:hAnsi="Calibri"/>
          <w:color w:val="1F2937"/>
          <w:sz w:val="20"/>
        </w:rPr>
        <w:t>[2] CSCI927, Service Modelling, especially the Business Service Representation Language structure and service modelling exercise.</w:t>
      </w:r>
    </w:p>
    <w:p>
      <w:pPr>
        <w:spacing w:after="100"/>
        <w:ind w:left="259" w:hanging="259"/>
      </w:pPr>
      <w:r>
        <w:rPr>
          <w:rFonts w:ascii="Calibri" w:hAnsi="Calibri"/>
          <w:color w:val="1F2937"/>
          <w:sz w:val="20"/>
        </w:rPr>
        <w:t>[3] CSCI927, Business Process Modelling and Management, BPMN elements, swimlanes, message flows, gateways, data objects and exception handling.</w:t>
      </w:r>
    </w:p>
    <w:p>
      <w:pPr>
        <w:spacing w:after="100"/>
        <w:ind w:left="259" w:hanging="259"/>
      </w:pPr>
      <w:r>
        <w:rPr>
          <w:rFonts w:ascii="Calibri" w:hAnsi="Calibri"/>
          <w:color w:val="1F2937"/>
          <w:sz w:val="20"/>
        </w:rPr>
        <w:t>[4] CSCI927, Semantic Processes and Services, immediate/cumulative effect annotations, effect scenarios and exclude sets.</w:t>
      </w:r>
    </w:p>
    <w:p>
      <w:pPr>
        <w:spacing w:after="100"/>
        <w:ind w:left="259" w:hanging="259"/>
      </w:pPr>
      <w:r>
        <w:rPr>
          <w:rFonts w:ascii="Calibri" w:hAnsi="Calibri"/>
          <w:color w:val="1F2937"/>
          <w:sz w:val="20"/>
        </w:rPr>
        <w:t>[5] ServiceUniverse repository, commit a8b222d: parking OpenAPI contracts, service implementations, repositories, pricing rule, tests and activity dictionary.</w:t>
      </w:r>
    </w:p>
    <w:sectPr w:rsidR="00FC693F" w:rsidRPr="0006063C" w:rsidSect="00034616">
      <w:headerReference w:type="default" r:id="rId19"/>
      <w:footerReference w:type="default" r:id="rId2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r>
    <w:fldSimple w:instr="PAGE">
      <w:r>
        <w:rPr>
          <w:color w:val="667085"/>
          <w:sz w:val="18"/>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r>
    <w:fldSimple w:instr="PAGE">
      <w:r>
        <w:rPr>
          <w:color w:val="667085"/>
          <w:sz w:val="18"/>
        </w:rP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r>
    <w:fldSimple w:instr="PAGE">
      <w:r>
        <w:rPr>
          <w:color w:val="667085"/>
          <w:sz w:val="18"/>
        </w:rPr>
        <w:t>1</w:t>
      </w:r>
    </w:fldSimpl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r>
    <w:fldSimple w:instr="PAGE">
      <w:r>
        <w:rPr>
          <w:color w:val="667085"/>
          <w:sz w:val="18"/>
        </w:rPr>
        <w:t>1</w:t>
      </w:r>
    </w:fldSimpl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r>
    <w:fldSimple w:instr="PAGE">
      <w:r>
        <w:rPr>
          <w:color w:val="667085"/>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7"/>
      </w:rPr>
      <w:t>CITY PARKING MANAGEMENT CENTER  |  SERVICE MODELLING PACKAGE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7"/>
      </w:rPr>
      <w:t>CITY PARKING MANAGEMENT CENTER  |  SERVICE MODELLING PACKAGE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7"/>
      </w:rPr>
      <w:t>CITY PARKING MANAGEMENT CENTER  |  SERVICE MODELLING PACKAGE</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7"/>
      </w:rPr>
      <w:t>CITY PARKING MANAGEMENT CENTER  |  SERVICE MODELLING PACKAGE</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7"/>
      </w:rPr>
      <w:t>CITY PARKING MANAGEMENT CENTER  |  SERVICE MODELLING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image" Target="media/image2.png"/><Relationship Id="rId19" Type="http://schemas.openxmlformats.org/officeDocument/2006/relationships/header" Target="header5.xml"/><Relationship Id="rId20"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 Parking Management Center - Service Modelling Package</dc:title>
  <dc:subject>BSRL, BPMN and semantic effect annotations for Member E</dc:subject>
  <dc:creator>Member E</dc:creator>
  <cp:keywords>CSCI927, BSRL, BPMN, semantic effect annotation, parking</cp:keywords>
  <dc:description>Generated from the ServiceUniverse implementation baseline at commit a8b222d.</dc:description>
  <cp:lastModifiedBy/>
  <cp:revision>1</cp:revision>
  <dcterms:created xsi:type="dcterms:W3CDTF">2013-12-23T23:15:00Z</dcterms:created>
  <dcterms:modified xsi:type="dcterms:W3CDTF">2013-12-23T23:15:00Z</dcterms:modified>
  <cp:category/>
</cp:coreProperties>
</file>