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628b35c3a11455c" /><Relationship Type="http://schemas.openxmlformats.org/package/2006/relationships/metadata/core-properties" Target="/docProps/core.xml" Id="Rc3c72e4b67a049b5" /><Relationship Type="http://schemas.openxmlformats.org/officeDocument/2006/relationships/extended-properties" Target="/docProps/app.xml" Id="R2bf857529787479f" /><Relationship Type="http://schemas.openxmlformats.org/officeDocument/2006/relationships/custom-properties" Target="/docProps/custom.xml" Id="R934f6e39eb2e496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6"/>
        </w:rPr>
        <w:t xml:space="preserve">SUPERMARKET SALES DATA ANALYSIS</w:t>
      </w:r>
    </w:p>
    <w:p w14:paraId="00100002" w14:textId="00100003">
      <w:pPr>
        <w:pStyle w:val="Normal"/>
        <w:spacing w:after="120"/>
        <w:jc w:val="center"/>
      </w:pPr>
      <w:r>
        <w:rPr>
          <w:color w:val="444444"/>
          <w:sz w:val="32"/>
        </w:rPr>
        <w:t xml:space="preserve">Project Report</w:t>
      </w:r>
    </w:p>
    <w:p w14:paraId="00100004" w14:textId="00100005">
      <w:pPr>
        <w:pStyle w:val="Normal"/>
        <w:spacing w:after="120"/>
        <w:jc w:val="center"/>
      </w:pPr>
      <w:r>
        <w:rPr>
          <w:color w:val="777777"/>
          <w:sz w:val="22"/>
        </w:rPr>
        <w:t xml:space="preserve">Prepared using Python · Pandas · Plotly · Streamlit</w:t>
      </w:r>
    </w:p>
    <w:p w14:paraId="00100006" w14:textId="00100007">
      <w:pPr>
        <w:pStyle w:val="Normal"/>
        <w:spacing w:after="480"/>
        <w:jc w:val="center"/>
      </w:pPr>
      <w:r>
        <w:rPr>
          <w:color w:val="777777"/>
          <w:sz w:val="20"/>
        </w:rPr>
        <w:t xml:space="preserve">Dataset: 500 Supermarket Sales Transactions  |  Branches: A, B, C  |  Cities: Yangon, Mandalay, Naypyitaw</w:t>
      </w:r>
    </w:p>
    <w:p w14:paraId="00100008" w14:textId="00100009">
      <w:pPr>
        <w:pStyle w:val="Heading1"/>
        <w:spacing w:before="240" w:after="160"/>
      </w:pPr>
      <w:r>
        <w:rPr>
          <w:b/>
          <w:color w:val="1A237E"/>
          <w:sz w:val="32"/>
        </w:rPr>
        <w:t xml:space="preserve">Table of Contents</w:t>
      </w:r>
    </w:p>
    <w:p w14:paraId="0010000A" w14:textId="0010000B">
      <w:pPr>
        <w:pStyle w:val="Normal"/>
        <w:spacing w:after="80"/>
      </w:pPr>
      <w:r>
        <w:rPr>
          <w:sz w:val="22"/>
        </w:rPr>
        <w:t xml:space="preserve">1.  Problem Statement</w:t>
      </w:r>
    </w:p>
    <w:p w14:paraId="0010000C" w14:textId="0010000D">
      <w:pPr>
        <w:pStyle w:val="Normal"/>
        <w:spacing w:after="80"/>
      </w:pPr>
      <w:r>
        <w:rPr>
          <w:sz w:val="22"/>
        </w:rPr>
        <w:t xml:space="preserve">2.  Dataset Overview</w:t>
      </w:r>
    </w:p>
    <w:p w14:paraId="0010000E" w14:textId="0010000F">
      <w:pPr>
        <w:pStyle w:val="Normal"/>
        <w:spacing w:after="80"/>
      </w:pPr>
      <w:r>
        <w:rPr>
          <w:sz w:val="22"/>
        </w:rPr>
        <w:t xml:space="preserve">3.  Step 1 — Data Collection &amp; Loading</w:t>
      </w:r>
    </w:p>
    <w:p w14:paraId="00100010" w14:textId="00100011">
      <w:pPr>
        <w:pStyle w:val="Normal"/>
        <w:spacing w:after="80"/>
      </w:pPr>
      <w:r>
        <w:rPr>
          <w:sz w:val="22"/>
        </w:rPr>
        <w:t xml:space="preserve">4.  Step 2 — Data Cleaning &amp; Validation</w:t>
      </w:r>
    </w:p>
    <w:p w14:paraId="00100012" w14:textId="00100013">
      <w:pPr>
        <w:pStyle w:val="Normal"/>
        <w:spacing w:after="80"/>
      </w:pPr>
      <w:r>
        <w:rPr>
          <w:sz w:val="22"/>
        </w:rPr>
        <w:t xml:space="preserve">5.  Step 3 — Sales Calculation</w:t>
      </w:r>
    </w:p>
    <w:p w14:paraId="00100014" w14:textId="00100015">
      <w:pPr>
        <w:pStyle w:val="Normal"/>
        <w:spacing w:after="80"/>
      </w:pPr>
      <w:r>
        <w:rPr>
          <w:sz w:val="22"/>
        </w:rPr>
        <w:t xml:space="preserve">6.  Step 4 — Grouping &amp; Summarisation</w:t>
      </w:r>
    </w:p>
    <w:p w14:paraId="00100016" w14:textId="00100017">
      <w:pPr>
        <w:pStyle w:val="Normal"/>
        <w:spacing w:after="80"/>
      </w:pPr>
      <w:r>
        <w:rPr>
          <w:sz w:val="22"/>
        </w:rPr>
        <w:t xml:space="preserve">7.  Step 5 — Branch &amp; City Analysis</w:t>
      </w:r>
    </w:p>
    <w:p w14:paraId="00100018" w14:textId="00100019">
      <w:pPr>
        <w:pStyle w:val="Normal"/>
        <w:spacing w:after="80"/>
      </w:pPr>
      <w:r>
        <w:rPr>
          <w:sz w:val="22"/>
        </w:rPr>
        <w:t xml:space="preserve">8.  Step 6 — Product Line Analysis</w:t>
      </w:r>
    </w:p>
    <w:p w14:paraId="0010001A" w14:textId="0010001B">
      <w:pPr>
        <w:pStyle w:val="Normal"/>
        <w:spacing w:after="80"/>
      </w:pPr>
      <w:r>
        <w:rPr>
          <w:sz w:val="22"/>
        </w:rPr>
        <w:t xml:space="preserve">9.  Step 7 — Customer &amp; Payment Analysis</w:t>
      </w:r>
    </w:p>
    <w:p w14:paraId="0010001C" w14:textId="0010001D">
      <w:pPr>
        <w:pStyle w:val="Normal"/>
        <w:spacing w:after="80"/>
      </w:pPr>
      <w:r>
        <w:rPr>
          <w:sz w:val="22"/>
        </w:rPr>
        <w:t xml:space="preserve">10. Step 8 — Ratings Analysis &amp; Visualisation</w:t>
      </w:r>
    </w:p>
    <w:p w14:paraId="0010001E" w14:textId="0010001F">
      <w:pPr>
        <w:pStyle w:val="Normal"/>
        <w:spacing w:after="480"/>
      </w:pPr>
      <w:r>
        <w:rPr>
          <w:sz w:val="22"/>
        </w:rPr>
        <w:t xml:space="preserve">11. Conclusions &amp; Business Recommendations</w:t>
      </w:r>
    </w:p>
    <w:p w14:paraId="00100020" w14:textId="00100021">
      <w:pPr>
        <w:pStyle w:val="Heading1"/>
        <w:spacing w:before="320" w:after="200"/>
      </w:pPr>
      <w:r>
        <w:rPr>
          <w:b/>
          <w:color w:val="1A237E"/>
          <w:sz w:val="36"/>
        </w:rPr>
        <w:t xml:space="preserve">1. Problem Statement</w:t>
      </w:r>
    </w:p>
    <w:p w14:paraId="00100022" w14:textId="00100023">
      <w:pPr>
        <w:pStyle w:val="Normal"/>
        <w:spacing w:after="160"/>
      </w:pPr>
      <w:r>
        <w:rPr>
          <w:sz w:val="22"/>
        </w:rPr>
        <w:t xml:space="preserve">Supermarkets generate massive volumes of transactional data every day. Without structured analysis, this data remains unused and offers no competitive advantage. The aim of this project is to analyse supermarket sales data to extract meaningful insights about products, branches, customer categories, payment preferences, and customer satisfaction ratings.</w:t>
      </w:r>
    </w:p>
    <w:p w14:paraId="00100024" w14:textId="00100025">
      <w:pPr>
        <w:pStyle w:val="Normal"/>
        <w:spacing w:after="120"/>
      </w:pPr>
      <w:r>
        <w:rPr>
          <w:sz w:val="22"/>
        </w:rPr>
        <w:t xml:space="preserve">Specifically, this project addresses the following business questions:</w:t>
      </w:r>
    </w:p>
    <w:p w14:paraId="00100026" w14:textId="00100027">
      <w:pPr>
        <w:pStyle w:val="Normal"/>
        <w:numPr>
          <w:ilvl w:val="0"/>
          <w:numId w:val="1"/>
        </w:numPr>
        <w:spacing w:after="80"/>
      </w:pPr>
      <w:r>
        <w:rPr>
          <w:sz w:val="22"/>
        </w:rPr>
        <w:t xml:space="preserve">•  Which branch and city generates the highest revenue?</w:t>
      </w:r>
    </w:p>
    <w:p w14:paraId="00100028" w14:textId="00100029">
      <w:pPr>
        <w:pStyle w:val="Normal"/>
        <w:numPr>
          <w:ilvl w:val="0"/>
          <w:numId w:val="1"/>
        </w:numPr>
        <w:spacing w:after="80"/>
      </w:pPr>
      <w:r>
        <w:rPr>
          <w:sz w:val="22"/>
        </w:rPr>
        <w:t xml:space="preserve">•  Which product lines are most and least popular?</w:t>
      </w:r>
    </w:p>
    <w:p w14:paraId="0010002A" w14:textId="0010002B">
      <w:pPr>
        <w:pStyle w:val="Normal"/>
        <w:numPr>
          <w:ilvl w:val="0"/>
          <w:numId w:val="1"/>
        </w:numPr>
        <w:spacing w:after="80"/>
      </w:pPr>
      <w:r>
        <w:rPr>
          <w:sz w:val="22"/>
        </w:rPr>
        <w:t xml:space="preserve">•  Do Members spend more than Normal customers?</w:t>
      </w:r>
    </w:p>
    <w:p w14:paraId="0010002C" w14:textId="0010002D">
      <w:pPr>
        <w:pStyle w:val="Normal"/>
        <w:numPr>
          <w:ilvl w:val="0"/>
          <w:numId w:val="1"/>
        </w:numPr>
        <w:spacing w:after="80"/>
      </w:pPr>
      <w:r>
        <w:rPr>
          <w:sz w:val="22"/>
        </w:rPr>
        <w:t xml:space="preserve">•  What is the preferred payment method across branches?</w:t>
      </w:r>
    </w:p>
    <w:p w14:paraId="0010002E" w14:textId="0010002F">
      <w:pPr>
        <w:pStyle w:val="Normal"/>
        <w:numPr>
          <w:ilvl w:val="0"/>
          <w:numId w:val="1"/>
        </w:numPr>
        <w:spacing w:after="80"/>
      </w:pPr>
      <w:r>
        <w:rPr>
          <w:sz w:val="22"/>
        </w:rPr>
        <w:t xml:space="preserve">•  How do customer ratings correlate with sales and product lines?</w:t>
      </w:r>
    </w:p>
    <w:p w14:paraId="00100030" w14:textId="00100031">
      <w:pPr>
        <w:pStyle w:val="Normal"/>
        <w:numPr>
          <w:ilvl w:val="0"/>
          <w:numId w:val="1"/>
        </w:numPr>
        <w:spacing w:after="240"/>
      </w:pPr>
      <w:r>
        <w:rPr>
          <w:sz w:val="22"/>
        </w:rPr>
        <w:t xml:space="preserve">•  What trends exist across time (monthly sales patterns)?</w:t>
      </w:r>
    </w:p>
    <w:p w14:paraId="00100032" w14:textId="00100033">
      <w:pPr>
        <w:pStyle w:val="Normal"/>
        <w:spacing w:after="320"/>
      </w:pPr>
      <w:r>
        <w:rPr>
          <w:sz w:val="22"/>
        </w:rPr>
        <w:t xml:space="preserve">The findings from this analysis are presented through an interactive Streamlit dashboard with real-time filters, KPI cards, and Plotly visualisations.</w:t>
      </w:r>
    </w:p>
    <w:p w14:paraId="00100034" w14:textId="00100035">
      <w:pPr>
        <w:pStyle w:val="Heading1"/>
        <w:spacing w:before="320" w:after="200"/>
      </w:pPr>
      <w:r>
        <w:rPr>
          <w:b/>
          <w:color w:val="1A237E"/>
          <w:sz w:val="36"/>
        </w:rPr>
        <w:t xml:space="preserve">2. Dataset Overview</w:t>
      </w:r>
    </w:p>
    <w:p w14:paraId="00100036" w14:textId="00100037">
      <w:pPr>
        <w:pStyle w:val="Normal"/>
        <w:spacing w:after="200"/>
      </w:pPr>
      <w:r>
        <w:rPr>
          <w:sz w:val="22"/>
        </w:rPr>
        <w:t xml:space="preserve">The dataset contains 500 sales transactions recorded across three supermarket branches in Myanmar. Each record represents a single customer invoice. The table below describes each column in the dataset.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8" w14:textId="00100039">
            <w:r>
              <w:t xml:space="preserve">Column Name</w:t>
            </w:r>
          </w:p>
        </w:tc>
        <w:tc>
          <w:p w14:paraId="0010003A" w14:textId="0010003B">
            <w:r>
              <w:t xml:space="preserve">Data Type</w:t>
            </w:r>
          </w:p>
        </w:tc>
        <w:tc>
          <w:p w14:paraId="0010003C" w14:textId="0010003D">
            <w:r>
              <w:t xml:space="preserve">Description</w:t>
            </w:r>
          </w:p>
        </w:tc>
      </w:tr>
      <w:tr>
        <w:trPr/>
        <w:tc>
          <w:p w14:paraId="0010003E" w14:textId="0010003F">
            <w:r>
              <w:t xml:space="preserve">Invoice ID</w:t>
            </w:r>
          </w:p>
        </w:tc>
        <w:tc>
          <w:p w14:paraId="00100040" w14:textId="00100041">
            <w:r>
              <w:t xml:space="preserve">String</w:t>
            </w:r>
          </w:p>
        </w:tc>
        <w:tc>
          <w:p w14:paraId="00100042" w14:textId="00100043">
            <w:r>
              <w:t xml:space="preserve">Unique identifier for each transaction</w:t>
            </w:r>
          </w:p>
        </w:tc>
      </w:tr>
      <w:tr>
        <w:trPr/>
        <w:tc>
          <w:p w14:paraId="00100044" w14:textId="00100045">
            <w:r>
              <w:t xml:space="preserve">Branch</w:t>
            </w:r>
          </w:p>
        </w:tc>
        <w:tc>
          <w:p w14:paraId="00100046" w14:textId="00100047">
            <w:r>
              <w:t xml:space="preserve">Categorical (A/B/C)</w:t>
            </w:r>
          </w:p>
        </w:tc>
        <w:tc>
          <w:p w14:paraId="00100048" w14:textId="00100049">
            <w:r>
              <w:t xml:space="preserve">Store branch where the sale occurred</w:t>
            </w:r>
          </w:p>
        </w:tc>
      </w:tr>
      <w:tr>
        <w:trPr/>
        <w:tc>
          <w:p w14:paraId="0010004A" w14:textId="0010004B">
            <w:r>
              <w:t xml:space="preserve">City</w:t>
            </w:r>
          </w:p>
        </w:tc>
        <w:tc>
          <w:p w14:paraId="0010004C" w14:textId="0010004D">
            <w:r>
              <w:t xml:space="preserve">Categorical</w:t>
            </w:r>
          </w:p>
        </w:tc>
        <w:tc>
          <w:p w14:paraId="0010004E" w14:textId="0010004F">
            <w:r>
              <w:t xml:space="preserve">City corresponding to the branch (Yangon / Mandalay / Naypyitaw)</w:t>
            </w:r>
          </w:p>
        </w:tc>
      </w:tr>
      <w:tr>
        <w:trPr/>
        <w:tc>
          <w:p w14:paraId="00100050" w14:textId="00100051">
            <w:r>
              <w:t xml:space="preserve">Customer type</w:t>
            </w:r>
          </w:p>
        </w:tc>
        <w:tc>
          <w:p w14:paraId="00100052" w14:textId="00100053">
            <w:r>
              <w:t xml:space="preserve">Categorical</w:t>
            </w:r>
          </w:p>
        </w:tc>
        <w:tc>
          <w:p w14:paraId="00100054" w14:textId="00100055">
            <w:r>
              <w:t xml:space="preserve">Member (loyalty card holder) or Normal customer</w:t>
            </w:r>
          </w:p>
        </w:tc>
      </w:tr>
      <w:tr>
        <w:trPr/>
        <w:tc>
          <w:p w14:paraId="00100056" w14:textId="00100057">
            <w:r>
              <w:t xml:space="preserve">Gender</w:t>
            </w:r>
          </w:p>
        </w:tc>
        <w:tc>
          <w:p w14:paraId="00100058" w14:textId="00100059">
            <w:r>
              <w:t xml:space="preserve">Categorical</w:t>
            </w:r>
          </w:p>
        </w:tc>
        <w:tc>
          <w:p w14:paraId="0010005A" w14:textId="0010005B">
            <w:r>
              <w:t xml:space="preserve">Reported gender of the customer (Male / Female)</w:t>
            </w:r>
          </w:p>
        </w:tc>
      </w:tr>
      <w:tr>
        <w:trPr/>
        <w:tc>
          <w:p w14:paraId="0010005C" w14:textId="0010005D">
            <w:r>
              <w:t xml:space="preserve">Product line</w:t>
            </w:r>
          </w:p>
        </w:tc>
        <w:tc>
          <w:p w14:paraId="0010005E" w14:textId="0010005F">
            <w:r>
              <w:t xml:space="preserve">Categorical</w:t>
            </w:r>
          </w:p>
        </w:tc>
        <w:tc>
          <w:p w14:paraId="00100060" w14:textId="00100061">
            <w:r>
              <w:t xml:space="preserve">One of 6 product categories (e.g. Food &amp; Beverages, Electronics)</w:t>
            </w:r>
          </w:p>
        </w:tc>
      </w:tr>
      <w:tr>
        <w:trPr/>
        <w:tc>
          <w:p w14:paraId="00100062" w14:textId="00100063">
            <w:r>
              <w:t xml:space="preserve">Unit price</w:t>
            </w:r>
          </w:p>
        </w:tc>
        <w:tc>
          <w:p w14:paraId="00100064" w14:textId="00100065">
            <w:r>
              <w:t xml:space="preserve">Float (USD)</w:t>
            </w:r>
          </w:p>
        </w:tc>
        <w:tc>
          <w:p w14:paraId="00100066" w14:textId="00100067">
            <w:r>
              <w:t xml:space="preserve">Price per single unit of the product</w:t>
            </w:r>
          </w:p>
        </w:tc>
      </w:tr>
      <w:tr>
        <w:trPr/>
        <w:tc>
          <w:p w14:paraId="00100068" w14:textId="00100069">
            <w:r>
              <w:t xml:space="preserve">Quantity</w:t>
            </w:r>
          </w:p>
        </w:tc>
        <w:tc>
          <w:p w14:paraId="0010006A" w14:textId="0010006B">
            <w:r>
              <w:t xml:space="preserve">Integer</w:t>
            </w:r>
          </w:p>
        </w:tc>
        <w:tc>
          <w:p w14:paraId="0010006C" w14:textId="0010006D">
            <w:r>
              <w:t xml:space="preserve">Number of units purchased</w:t>
            </w:r>
          </w:p>
        </w:tc>
      </w:tr>
      <w:tr>
        <w:trPr/>
        <w:tc>
          <w:p w14:paraId="0010006E" w14:textId="0010006F">
            <w:r>
              <w:t xml:space="preserve">Tax 5%</w:t>
            </w:r>
          </w:p>
        </w:tc>
        <w:tc>
          <w:p w14:paraId="00100070" w14:textId="00100071">
            <w:r>
              <w:t xml:space="preserve">Float</w:t>
            </w:r>
          </w:p>
        </w:tc>
        <w:tc>
          <w:p w14:paraId="00100072" w14:textId="00100073">
            <w:r>
              <w:t xml:space="preserve">5% tax applied on the subtotal (cogs)</w:t>
            </w:r>
          </w:p>
        </w:tc>
      </w:tr>
      <w:tr>
        <w:trPr/>
        <w:tc>
          <w:p w14:paraId="00100074" w14:textId="00100075">
            <w:r>
              <w:t xml:space="preserve">Total</w:t>
            </w:r>
          </w:p>
        </w:tc>
        <w:tc>
          <w:p w14:paraId="00100076" w14:textId="00100077">
            <w:r>
              <w:t xml:space="preserve">Float (USD)</w:t>
            </w:r>
          </w:p>
        </w:tc>
        <w:tc>
          <w:p w14:paraId="00100078" w14:textId="00100079">
            <w:r>
              <w:t xml:space="preserve">Final invoice total including tax</w:t>
            </w:r>
          </w:p>
        </w:tc>
      </w:tr>
      <w:tr>
        <w:trPr/>
        <w:tc>
          <w:p w14:paraId="0010007A" w14:textId="0010007B">
            <w:r>
              <w:t xml:space="preserve">Date</w:t>
            </w:r>
          </w:p>
        </w:tc>
        <w:tc>
          <w:p w14:paraId="0010007C" w14:textId="0010007D">
            <w:r>
              <w:t xml:space="preserve">Date</w:t>
            </w:r>
          </w:p>
        </w:tc>
        <w:tc>
          <w:p w14:paraId="0010007E" w14:textId="0010007F">
            <w:r>
              <w:t xml:space="preserve">Date of the transaction (Jan–Mar 2019)</w:t>
            </w:r>
          </w:p>
        </w:tc>
      </w:tr>
      <w:tr>
        <w:trPr/>
        <w:tc>
          <w:p w14:paraId="00100080" w14:textId="00100081">
            <w:r>
              <w:t xml:space="preserve">Time</w:t>
            </w:r>
          </w:p>
        </w:tc>
        <w:tc>
          <w:p w14:paraId="00100082" w14:textId="00100083">
            <w:r>
              <w:t xml:space="preserve">Time</w:t>
            </w:r>
          </w:p>
        </w:tc>
        <w:tc>
          <w:p w14:paraId="00100084" w14:textId="00100085">
            <w:r>
              <w:t xml:space="preserve">Time of the transaction (HH:MM)</w:t>
            </w:r>
          </w:p>
        </w:tc>
      </w:tr>
      <w:tr>
        <w:trPr/>
        <w:tc>
          <w:p w14:paraId="00100086" w14:textId="00100087">
            <w:r>
              <w:t xml:space="preserve">Payment</w:t>
            </w:r>
          </w:p>
        </w:tc>
        <w:tc>
          <w:p w14:paraId="00100088" w14:textId="00100089">
            <w:r>
              <w:t xml:space="preserve">Categorical</w:t>
            </w:r>
          </w:p>
        </w:tc>
        <w:tc>
          <w:p w14:paraId="0010008A" w14:textId="0010008B">
            <w:r>
              <w:t xml:space="preserve">Payment method: Ewallet, Cash, or Credit card</w:t>
            </w:r>
          </w:p>
        </w:tc>
      </w:tr>
      <w:tr>
        <w:trPr/>
        <w:tc>
          <w:p w14:paraId="0010008C" w14:textId="0010008D">
            <w:r>
              <w:t xml:space="preserve">cogs</w:t>
            </w:r>
          </w:p>
        </w:tc>
        <w:tc>
          <w:p w14:paraId="0010008E" w14:textId="0010008F">
            <w:r>
              <w:t xml:space="preserve">Float (USD)</w:t>
            </w:r>
          </w:p>
        </w:tc>
        <w:tc>
          <w:p w14:paraId="00100090" w14:textId="00100091">
            <w:r>
              <w:t xml:space="preserve">Cost of goods sold (Unit price × Quantity)</w:t>
            </w:r>
          </w:p>
        </w:tc>
      </w:tr>
      <w:tr>
        <w:trPr/>
        <w:tc>
          <w:p w14:paraId="00100092" w14:textId="00100093">
            <w:r>
              <w:t xml:space="preserve">gross margin %</w:t>
            </w:r>
          </w:p>
        </w:tc>
        <w:tc>
          <w:p w14:paraId="00100094" w14:textId="00100095">
            <w:r>
              <w:t xml:space="preserve">Float</w:t>
            </w:r>
          </w:p>
        </w:tc>
        <w:tc>
          <w:p w14:paraId="00100096" w14:textId="00100097">
            <w:r>
              <w:t xml:space="preserve">Fixed gross margin percentage (~4.76%)</w:t>
            </w:r>
          </w:p>
        </w:tc>
      </w:tr>
      <w:tr>
        <w:trPr/>
        <w:tc>
          <w:p w14:paraId="00100098" w14:textId="00100099">
            <w:r>
              <w:t xml:space="preserve">gross income</w:t>
            </w:r>
          </w:p>
        </w:tc>
        <w:tc>
          <w:p w14:paraId="0010009A" w14:textId="0010009B">
            <w:r>
              <w:t xml:space="preserve">Float</w:t>
            </w:r>
          </w:p>
        </w:tc>
        <w:tc>
          <w:p w14:paraId="0010009C" w14:textId="0010009D">
            <w:r>
              <w:t xml:space="preserve">Gross income earned on the transaction</w:t>
            </w:r>
          </w:p>
        </w:tc>
      </w:tr>
      <w:tr>
        <w:trPr/>
        <w:tc>
          <w:p w14:paraId="0010009E" w14:textId="0010009F">
            <w:r>
              <w:t xml:space="preserve">Rating</w:t>
            </w:r>
          </w:p>
        </w:tc>
        <w:tc>
          <w:p w14:paraId="001000A0" w14:textId="001000A1">
            <w:r>
              <w:t xml:space="preserve">Float (4–10)</w:t>
            </w:r>
          </w:p>
        </w:tc>
        <w:tc>
          <w:p w14:paraId="001000A2" w14:textId="001000A3">
            <w:r>
              <w:t xml:space="preserve">Customer satisfaction rating out of 10</w:t>
            </w:r>
          </w:p>
        </w:tc>
      </w:tr>
    </w:tbl>
    <w:p w14:paraId="001000A4" w14:textId="001000A5">
      <w:pPr>
        <w:pStyle w:val="Heading1"/>
        <w:spacing w:before="400" w:after="200"/>
      </w:pPr>
      <w:r>
        <w:rPr>
          <w:b/>
          <w:color w:val="1A237E"/>
          <w:sz w:val="40"/>
        </w:rPr>
        <w:t xml:space="preserve">Step-by-Step Analysis</w:t>
      </w:r>
    </w:p>
    <w:p w14:paraId="001000A6" w14:textId="001000A7">
      <w:pPr>
        <w:pStyle w:val="Heading2"/>
        <w:spacing w:before="280" w:after="160"/>
      </w:pPr>
      <w:r>
        <w:rPr>
          <w:b/>
          <w:color w:val="283593"/>
          <w:sz w:val="28"/>
        </w:rPr>
        <w:t xml:space="preserve">Step 1 — Data Collection &amp; Loading</w:t>
      </w:r>
    </w:p>
    <w:p w14:paraId="001000A8" w14:textId="001000A9">
      <w:pPr>
        <w:pStyle w:val="Normal"/>
        <w:spacing w:after="120"/>
      </w:pPr>
      <w:r>
        <w:rPr>
          <w:b/>
          <w:sz w:val="22"/>
        </w:rPr>
        <w:t xml:space="preserve">Objective: Import the raw CSV dataset into a structured Python DataFrame for analysis.</w:t>
      </w:r>
    </w:p>
    <w:p w14:paraId="001000AA" w14:textId="001000AB">
      <w:pPr>
        <w:pStyle w:val="Normal"/>
        <w:spacing w:after="120"/>
      </w:pPr>
      <w:r>
        <w:rPr>
          <w:sz w:val="22"/>
        </w:rPr>
        <w:t xml:space="preserve">The dataset was sourced from a Google Sheets file containing 500 supermarket transactions and loaded using the Pandas library. The CSV file includes 17 columns covering all dimensions of a sales transaction — from product information to customer demographics and payment details.</w:t>
      </w:r>
    </w:p>
    <w:p w14:paraId="001000AC" w14:textId="001000AD">
      <w:pPr>
        <w:pStyle w:val="Normal"/>
        <w:spacing w:after="120"/>
      </w:pPr>
      <w:r>
        <w:rPr>
          <w:color w:val="555555"/>
          <w:sz w:val="20"/>
        </w:rPr>
        <w:t xml:space="preserve">Tools Used: Python 3, pandas.read_csv(), Streamlit file uploader (for dynamic user uploads).</w:t>
      </w:r>
    </w:p>
    <w:p w14:paraId="001000AE" w14:textId="001000AF">
      <w:pPr>
        <w:pStyle w:val="Normal"/>
        <w:spacing w:after="80"/>
      </w:pPr>
      <w:r>
        <w:rPr>
          <w:b/>
          <w:sz w:val="22"/>
        </w:rPr>
        <w:t xml:space="preserve">Key Actions:</w:t>
      </w:r>
    </w:p>
    <w:p w14:paraId="001000B0" w14:textId="001000B1">
      <w:pPr>
        <w:pStyle w:val="Normal"/>
        <w:spacing w:after="60"/>
      </w:pPr>
      <w:r>
        <w:rPr>
          <w:sz w:val="22"/>
        </w:rPr>
        <w:t xml:space="preserve">•  Loaded CSV with pandas.read_csv() and stripped whitespace from all column names.</w:t>
      </w:r>
    </w:p>
    <w:p w14:paraId="001000B2" w14:textId="001000B3">
      <w:pPr>
        <w:pStyle w:val="Normal"/>
        <w:spacing w:after="60"/>
      </w:pPr>
      <w:r>
        <w:rPr>
          <w:sz w:val="22"/>
        </w:rPr>
        <w:t xml:space="preserve">•  Enabled dynamic CSV upload through the Streamlit sidebar for flexibility.</w:t>
      </w:r>
    </w:p>
    <w:p w14:paraId="001000B4" w14:textId="001000B5">
      <w:pPr>
        <w:pStyle w:val="Normal"/>
        <w:spacing w:after="240"/>
      </w:pPr>
      <w:r>
        <w:rPr>
          <w:sz w:val="22"/>
        </w:rPr>
        <w:t xml:space="preserve">•  Applied st.cache_data() to prevent repeated file reads and speed up the dashboard.</w:t>
      </w:r>
    </w:p>
    <w:p w14:paraId="001000B6" w14:textId="001000B7">
      <w:pPr>
        <w:pStyle w:val="Heading2"/>
        <w:spacing w:before="280" w:after="160"/>
      </w:pPr>
      <w:r>
        <w:rPr>
          <w:b/>
          <w:color w:val="283593"/>
          <w:sz w:val="28"/>
        </w:rPr>
        <w:t xml:space="preserve">Step 2 — Data Cleaning &amp; Validation</w:t>
      </w:r>
    </w:p>
    <w:p w14:paraId="001000B8" w14:textId="001000B9">
      <w:pPr>
        <w:pStyle w:val="Normal"/>
        <w:spacing w:after="120"/>
      </w:pPr>
      <w:r>
        <w:rPr>
          <w:b/>
          <w:sz w:val="22"/>
        </w:rPr>
        <w:t xml:space="preserve">Objective: Ensure the dataset is accurate, complete, and in the correct format before analysis.</w:t>
      </w:r>
    </w:p>
    <w:p w14:paraId="001000BA" w14:textId="001000BB">
      <w:pPr>
        <w:pStyle w:val="Normal"/>
        <w:spacing w:after="120"/>
      </w:pPr>
      <w:r>
        <w:rPr>
          <w:sz w:val="22"/>
        </w:rPr>
        <w:t xml:space="preserve">Raw data often contains formatting inconsistencies, missing values, and incorrect data types. This step guarantees the integrity of all downstream calculations.</w:t>
      </w:r>
    </w:p>
    <w:p w14:paraId="001000BC" w14:textId="001000BD">
      <w:pPr>
        <w:pStyle w:val="Normal"/>
        <w:spacing w:after="80"/>
      </w:pPr>
      <w:r>
        <w:rPr>
          <w:b/>
          <w:sz w:val="22"/>
        </w:rPr>
        <w:t xml:space="preserve">Key Actions:</w:t>
      </w:r>
    </w:p>
    <w:p w14:paraId="001000BE" w14:textId="001000BF">
      <w:pPr>
        <w:pStyle w:val="Normal"/>
        <w:spacing w:after="60"/>
      </w:pPr>
      <w:r>
        <w:rPr>
          <w:sz w:val="22"/>
        </w:rPr>
        <w:t xml:space="preserve">•  Removed fully blank rows using dropna(how='all').</w:t>
      </w:r>
    </w:p>
    <w:p w14:paraId="001000C0" w14:textId="001000C1">
      <w:pPr>
        <w:pStyle w:val="Normal"/>
        <w:spacing w:after="60"/>
      </w:pPr>
      <w:r>
        <w:rPr>
          <w:sz w:val="22"/>
        </w:rPr>
        <w:t xml:space="preserve">•  Parsed the Date column to datetime format using pd.to_datetime() with error coercion.</w:t>
      </w:r>
    </w:p>
    <w:p w14:paraId="001000C2" w14:textId="001000C3">
      <w:pPr>
        <w:pStyle w:val="Normal"/>
        <w:spacing w:after="60"/>
      </w:pPr>
      <w:r>
        <w:rPr>
          <w:sz w:val="22"/>
        </w:rPr>
        <w:t xml:space="preserve">•  Parsed the Time column to Python time objects for hour extraction.</w:t>
      </w:r>
    </w:p>
    <w:p w14:paraId="001000C4" w14:textId="001000C5">
      <w:pPr>
        <w:pStyle w:val="Normal"/>
        <w:spacing w:after="60"/>
      </w:pPr>
      <w:r>
        <w:rPr>
          <w:sz w:val="22"/>
        </w:rPr>
        <w:t xml:space="preserve">•  Coerced numeric columns (Unit price, Quantity, Rating, Total, Tax 5%, etc.) using pd.to_numeric(errors='coerce').</w:t>
      </w:r>
    </w:p>
    <w:p w14:paraId="001000C6" w14:textId="001000C7">
      <w:pPr>
        <w:pStyle w:val="Normal"/>
        <w:spacing w:after="240"/>
      </w:pPr>
      <w:r>
        <w:rPr>
          <w:sz w:val="22"/>
        </w:rPr>
        <w:t xml:space="preserve">•  Derived helper columns: Month (for trend analysis) and Hour (for time-of-day patterns).</w:t>
      </w:r>
    </w:p>
    <w:p w14:paraId="001000C8" w14:textId="001000C9">
      <w:pPr>
        <w:pStyle w:val="Heading2"/>
        <w:spacing w:before="280" w:after="160"/>
      </w:pPr>
      <w:r>
        <w:rPr>
          <w:b/>
          <w:color w:val="283593"/>
          <w:sz w:val="28"/>
        </w:rPr>
        <w:t xml:space="preserve">Step 3 — Sales Calculation</w:t>
      </w:r>
    </w:p>
    <w:p w14:paraId="001000CA" w14:textId="001000CB">
      <w:pPr>
        <w:pStyle w:val="Normal"/>
        <w:spacing w:after="120"/>
      </w:pPr>
      <w:r>
        <w:rPr>
          <w:b/>
          <w:sz w:val="22"/>
        </w:rPr>
        <w:t xml:space="preserve">Objective: Compute a clean Sales metric to use as the primary revenue indicator throughout the analysis.</w:t>
      </w:r>
    </w:p>
    <w:p w14:paraId="001000CC" w14:textId="001000CD">
      <w:pPr>
        <w:pStyle w:val="Normal"/>
        <w:spacing w:after="120"/>
      </w:pPr>
      <w:r>
        <w:rPr>
          <w:sz w:val="22"/>
        </w:rPr>
        <w:t xml:space="preserve">The dataset provides a Total column that includes 5% tax. To isolate the pure merchandise revenue — which is more directly tied to product and quantity decisions — a new Sales column was derived:</w:t>
      </w:r>
    </w:p>
    <w:p w14:paraId="001000CE" w14:textId="001000CF">
      <w:pPr>
        <w:pStyle w:val="Normal"/>
        <w:spacing w:after="120"/>
        <w:jc w:val="center"/>
      </w:pPr>
      <w:r>
        <w:rPr>
          <w:b/>
          <w:sz w:val="24"/>
        </w:rPr>
        <w:t xml:space="preserve">          Sales  =  Quantity  ×  Unit Price</w:t>
      </w:r>
    </w:p>
    <w:p w14:paraId="001000D0" w14:textId="001000D1">
      <w:pPr>
        <w:pStyle w:val="Normal"/>
        <w:spacing w:after="240"/>
      </w:pPr>
      <w:r>
        <w:rPr>
          <w:sz w:val="22"/>
        </w:rPr>
        <w:t xml:space="preserve">This metric is equivalent to the cogs column already in the dataset but is calculated independently to validate data consistency. All branch comparisons, product rankings, and customer-segment analyses in the dashboard are driven by this Sales column.</w:t>
      </w:r>
    </w:p>
    <w:p w14:paraId="001000D2" w14:textId="001000D3">
      <w:pPr>
        <w:pStyle w:val="Heading2"/>
        <w:spacing w:before="280" w:after="160"/>
      </w:pPr>
      <w:r>
        <w:rPr>
          <w:b/>
          <w:color w:val="283593"/>
          <w:sz w:val="28"/>
        </w:rPr>
        <w:t xml:space="preserve">Step 4 — Grouping &amp; Summarisation</w:t>
      </w:r>
    </w:p>
    <w:p w14:paraId="001000D4" w14:textId="001000D5">
      <w:pPr>
        <w:pStyle w:val="Normal"/>
        <w:spacing w:after="120"/>
      </w:pPr>
      <w:r>
        <w:rPr>
          <w:b/>
          <w:sz w:val="22"/>
        </w:rPr>
        <w:t xml:space="preserve">Objective: Aggregate the data by key dimensions to reveal patterns not visible in raw transactions.</w:t>
      </w:r>
    </w:p>
    <w:p w14:paraId="001000D6" w14:textId="001000D7">
      <w:pPr>
        <w:pStyle w:val="Normal"/>
        <w:spacing w:after="120"/>
      </w:pPr>
      <w:r>
        <w:rPr>
          <w:sz w:val="22"/>
        </w:rPr>
        <w:t xml:space="preserve">Using pandas groupby() and agg(), the data was summarised across multiple dimensions. Each grouping serves a specific analytical purpose and feeds directly into the dashboard visualisations.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8" w14:textId="001000D9">
            <w:r>
              <w:t xml:space="preserve">Grouping Dimension</w:t>
            </w:r>
          </w:p>
        </w:tc>
        <w:tc>
          <w:p w14:paraId="001000DA" w14:textId="001000DB">
            <w:r>
              <w:t xml:space="preserve">Metrics Computed</w:t>
            </w:r>
          </w:p>
        </w:tc>
        <w:tc>
          <w:p w14:paraId="001000DC" w14:textId="001000DD">
            <w:r>
              <w:t xml:space="preserve">Business Purpose</w:t>
            </w:r>
          </w:p>
        </w:tc>
      </w:tr>
      <w:tr>
        <w:trPr/>
        <w:tc>
          <w:p w14:paraId="001000DE" w14:textId="001000DF">
            <w:r>
              <w:t xml:space="preserve">Branch</w:t>
            </w:r>
          </w:p>
        </w:tc>
        <w:tc>
          <w:p w14:paraId="001000E0" w14:textId="001000E1">
            <w:r>
              <w:t xml:space="preserve">Total Sales, Transactions</w:t>
            </w:r>
          </w:p>
        </w:tc>
        <w:tc>
          <w:p w14:paraId="001000E2" w14:textId="001000E3">
            <w:r>
              <w:t xml:space="preserve">Identify top-performing store</w:t>
            </w:r>
          </w:p>
        </w:tc>
      </w:tr>
      <w:tr>
        <w:trPr/>
        <w:tc>
          <w:p w14:paraId="001000E4" w14:textId="001000E5">
            <w:r>
              <w:t xml:space="preserve">City</w:t>
            </w:r>
          </w:p>
        </w:tc>
        <w:tc>
          <w:p w14:paraId="001000E6" w14:textId="001000E7">
            <w:r>
              <w:t xml:space="preserve">Sales Share (%)</w:t>
            </w:r>
          </w:p>
        </w:tc>
        <w:tc>
          <w:p w14:paraId="001000E8" w14:textId="001000E9">
            <w:r>
              <w:t xml:space="preserve">Regional revenue distribution</w:t>
            </w:r>
          </w:p>
        </w:tc>
      </w:tr>
      <w:tr>
        <w:trPr/>
        <w:tc>
          <w:p w14:paraId="001000EA" w14:textId="001000EB">
            <w:r>
              <w:t xml:space="preserve">Product Line</w:t>
            </w:r>
          </w:p>
        </w:tc>
        <w:tc>
          <w:p w14:paraId="001000EC" w14:textId="001000ED">
            <w:r>
              <w:t xml:space="preserve">Total Sales, Units Sold, Avg Rating</w:t>
            </w:r>
          </w:p>
        </w:tc>
        <w:tc>
          <w:p w14:paraId="001000EE" w14:textId="001000EF">
            <w:r>
              <w:t xml:space="preserve">Product portfolio performance</w:t>
            </w:r>
          </w:p>
        </w:tc>
      </w:tr>
      <w:tr>
        <w:trPr/>
        <w:tc>
          <w:p w14:paraId="001000F0" w14:textId="001000F1">
            <w:r>
              <w:t xml:space="preserve">Customer Type</w:t>
            </w:r>
          </w:p>
        </w:tc>
        <w:tc>
          <w:p w14:paraId="001000F2" w14:textId="001000F3">
            <w:r>
              <w:t xml:space="preserve">Sales, Transaction Count</w:t>
            </w:r>
          </w:p>
        </w:tc>
        <w:tc>
          <w:p w14:paraId="001000F4" w14:textId="001000F5">
            <w:r>
              <w:t xml:space="preserve">Member vs Normal spending behaviour</w:t>
            </w:r>
          </w:p>
        </w:tc>
      </w:tr>
      <w:tr>
        <w:trPr/>
        <w:tc>
          <w:p w14:paraId="001000F6" w14:textId="001000F7">
            <w:r>
              <w:t xml:space="preserve">Payment Method</w:t>
            </w:r>
          </w:p>
        </w:tc>
        <w:tc>
          <w:p w14:paraId="001000F8" w14:textId="001000F9">
            <w:r>
              <w:t xml:space="preserve">Sales, Avg Order Value, Count</w:t>
            </w:r>
          </w:p>
        </w:tc>
        <w:tc>
          <w:p w14:paraId="001000FA" w14:textId="001000FB">
            <w:r>
              <w:t xml:space="preserve">Preferred payment channel insights</w:t>
            </w:r>
          </w:p>
        </w:tc>
      </w:tr>
      <w:tr>
        <w:trPr/>
        <w:tc>
          <w:p w14:paraId="001000FC" w14:textId="001000FD">
            <w:r>
              <w:t xml:space="preserve">Gender</w:t>
            </w:r>
          </w:p>
        </w:tc>
        <w:tc>
          <w:p w14:paraId="001000FE" w14:textId="001000FF">
            <w:r>
              <w:t xml:space="preserve">Sales, Transactions</w:t>
            </w:r>
          </w:p>
        </w:tc>
        <w:tc>
          <w:p w14:paraId="00100100" w14:textId="00100101">
            <w:r>
              <w:t xml:space="preserve">Gender-based purchasing patterns</w:t>
            </w:r>
          </w:p>
        </w:tc>
      </w:tr>
      <w:tr>
        <w:trPr/>
        <w:tc>
          <w:p w14:paraId="00100102" w14:textId="00100103">
            <w:r>
              <w:t xml:space="preserve">Month</w:t>
            </w:r>
          </w:p>
        </w:tc>
        <w:tc>
          <w:p w14:paraId="00100104" w14:textId="00100105">
            <w:r>
              <w:t xml:space="preserve">Total Sales</w:t>
            </w:r>
          </w:p>
        </w:tc>
        <w:tc>
          <w:p w14:paraId="00100106" w14:textId="00100107">
            <w:r>
              <w:t xml:space="preserve">Temporal sales trend</w:t>
            </w:r>
          </w:p>
        </w:tc>
      </w:tr>
    </w:tbl>
    <w:p w14:paraId="00100108" w14:textId="00100109">
      <w:pPr>
        <w:pStyle w:val="Heading2"/>
        <w:spacing w:before="280" w:after="160"/>
      </w:pPr>
      <w:r>
        <w:rPr>
          <w:b/>
          <w:color w:val="283593"/>
          <w:sz w:val="28"/>
        </w:rPr>
        <w:t xml:space="preserve">Step 5 — Branch &amp; City Analysis</w:t>
      </w:r>
    </w:p>
    <w:p w14:paraId="0010010A" w14:textId="0010010B">
      <w:pPr>
        <w:pStyle w:val="Normal"/>
        <w:spacing w:after="120"/>
      </w:pPr>
      <w:r>
        <w:rPr>
          <w:b/>
          <w:sz w:val="22"/>
        </w:rPr>
        <w:t xml:space="preserve">Objective: Compare performance across the three branches and their respective cities to determine where the business is strongest and where improvement is needed.</w:t>
      </w:r>
    </w:p>
    <w:p w14:paraId="0010010C" w14:textId="0010010D">
      <w:pPr>
        <w:pStyle w:val="Normal"/>
        <w:spacing w:after="120"/>
      </w:pPr>
      <w:r>
        <w:rPr>
          <w:sz w:val="22"/>
        </w:rPr>
        <w:t xml:space="preserve">Branch-level analysis is a fundamental operational metric for any multi-store retail business. Revenue, transaction volume, and product mix can all vary significantly between locations.</w:t>
      </w:r>
    </w:p>
    <w:p w14:paraId="0010010E" w14:textId="0010010F">
      <w:pPr>
        <w:pStyle w:val="Normal"/>
        <w:spacing w:after="80"/>
      </w:pPr>
      <w:r>
        <w:rPr>
          <w:b/>
          <w:sz w:val="22"/>
        </w:rPr>
        <w:t xml:space="preserve">Visualisations Created:</w:t>
      </w:r>
    </w:p>
    <w:p w14:paraId="00100110" w14:textId="00100111">
      <w:pPr>
        <w:pStyle w:val="Normal"/>
        <w:spacing w:after="60"/>
      </w:pPr>
      <w:r>
        <w:rPr>
          <w:sz w:val="22"/>
        </w:rPr>
        <w:t xml:space="preserve">•  Bar chart — Total Sales by Branch (A, B, C)</w:t>
      </w:r>
    </w:p>
    <w:p w14:paraId="00100112" w14:textId="00100113">
      <w:pPr>
        <w:pStyle w:val="Normal"/>
        <w:spacing w:after="60"/>
      </w:pPr>
      <w:r>
        <w:rPr>
          <w:sz w:val="22"/>
        </w:rPr>
        <w:t xml:space="preserve">•  Donut pie chart — Sales Share by City</w:t>
      </w:r>
    </w:p>
    <w:p w14:paraId="00100114" w14:textId="00100115">
      <w:pPr>
        <w:pStyle w:val="Normal"/>
        <w:spacing w:after="60"/>
      </w:pPr>
      <w:r>
        <w:rPr>
          <w:sz w:val="22"/>
        </w:rPr>
        <w:t xml:space="preserve">•  Line chart — Monthly Sales Trend across the full period</w:t>
      </w:r>
    </w:p>
    <w:p w14:paraId="00100116" w14:textId="00100117">
      <w:pPr>
        <w:pStyle w:val="Normal"/>
        <w:spacing w:after="120"/>
      </w:pPr>
      <w:r>
        <w:rPr>
          <w:sz w:val="22"/>
        </w:rPr>
        <w:t xml:space="preserve">•  Heatmap — Sales intensity by Branch × Product Line combination</w:t>
      </w:r>
    </w:p>
    <w:p w14:paraId="00100118" w14:textId="00100119">
      <w:pPr>
        <w:pStyle w:val="Normal"/>
        <w:spacing w:after="240"/>
      </w:pPr>
      <w:r>
        <w:rPr>
          <w:sz w:val="22"/>
        </w:rPr>
        <w:t xml:space="preserve">Key Findings: Branch A (Yangon) and Branch C (Naypyitaw) consistently show the highest revenue. Branch B (Mandalay) lags slightly in total sales but shows competitive transaction counts, suggesting lower average order values.</w:t>
      </w:r>
    </w:p>
    <w:p w14:paraId="0010011A" w14:textId="0010011B">
      <w:pPr>
        <w:pStyle w:val="Heading2"/>
        <w:spacing w:before="280" w:after="160"/>
      </w:pPr>
      <w:r>
        <w:rPr>
          <w:b/>
          <w:color w:val="283593"/>
          <w:sz w:val="28"/>
        </w:rPr>
        <w:t xml:space="preserve">Step 6 — Product Line Analysis</w:t>
      </w:r>
    </w:p>
    <w:p w14:paraId="0010011C" w14:textId="0010011D">
      <w:pPr>
        <w:pStyle w:val="Normal"/>
        <w:spacing w:after="120"/>
      </w:pPr>
      <w:r>
        <w:rPr>
          <w:b/>
          <w:sz w:val="22"/>
        </w:rPr>
        <w:t xml:space="preserve">Objective: Identify the best and worst-performing product categories by revenue, units sold, and customer rating to inform stock and marketing decisions.</w:t>
      </w:r>
    </w:p>
    <w:p w14:paraId="0010011E" w14:textId="0010011F">
      <w:pPr>
        <w:pStyle w:val="Normal"/>
        <w:spacing w:after="120"/>
      </w:pPr>
      <w:r>
        <w:rPr>
          <w:sz w:val="22"/>
        </w:rPr>
        <w:t xml:space="preserve">The dataset covers six product lines: Health and Beauty, Electronic Accessories, Home and Lifestyle, Sports and Travel, Food and Beverages, and Fashion Accessories. Each line was evaluated across multiple KPIs.</w:t>
      </w:r>
    </w:p>
    <w:p w14:paraId="00100120" w14:textId="00100121">
      <w:pPr>
        <w:pStyle w:val="Normal"/>
        <w:spacing w:after="80"/>
      </w:pPr>
      <w:r>
        <w:rPr>
          <w:b/>
          <w:sz w:val="22"/>
        </w:rPr>
        <w:t xml:space="preserve">Visualisations Created:</w:t>
      </w:r>
    </w:p>
    <w:p w14:paraId="00100122" w14:textId="00100123">
      <w:pPr>
        <w:pStyle w:val="Normal"/>
        <w:spacing w:after="60"/>
      </w:pPr>
      <w:r>
        <w:rPr>
          <w:sz w:val="22"/>
        </w:rPr>
        <w:t xml:space="preserve">•  Horizontal bar chart — Total Sales by Product Line</w:t>
      </w:r>
    </w:p>
    <w:p w14:paraId="00100124" w14:textId="00100125">
      <w:pPr>
        <w:pStyle w:val="Normal"/>
        <w:spacing w:after="60"/>
      </w:pPr>
      <w:r>
        <w:rPr>
          <w:sz w:val="22"/>
        </w:rPr>
        <w:t xml:space="preserve">•  Horizontal bar chart — Units Sold by Product Line</w:t>
      </w:r>
    </w:p>
    <w:p w14:paraId="00100126" w14:textId="00100127">
      <w:pPr>
        <w:pStyle w:val="Normal"/>
        <w:spacing w:after="60"/>
      </w:pPr>
      <w:r>
        <w:rPr>
          <w:sz w:val="22"/>
        </w:rPr>
        <w:t xml:space="preserve">•  Radar chart — Multi-metric normalised comparison (Sales, Transactions, Quantity, Rating)</w:t>
      </w:r>
    </w:p>
    <w:p w14:paraId="00100128" w14:textId="00100129">
      <w:pPr>
        <w:pStyle w:val="Normal"/>
        <w:spacing w:after="120"/>
      </w:pPr>
      <w:r>
        <w:rPr>
          <w:sz w:val="22"/>
        </w:rPr>
        <w:t xml:space="preserve">•  Summary statistics table — All KPIs per product line</w:t>
      </w:r>
    </w:p>
    <w:p w14:paraId="0010012A" w14:textId="0010012B">
      <w:pPr>
        <w:pStyle w:val="Normal"/>
        <w:spacing w:after="240"/>
      </w:pPr>
      <w:r>
        <w:rPr>
          <w:sz w:val="22"/>
        </w:rPr>
        <w:t xml:space="preserve">Key Findings: Food &amp; Beverages and Fashion Accessories lead in revenue. Electronic Accessories records the highest number of units sold. Health and Beauty products receive the highest average customer ratings, suggesting strong satisfaction despite not being the highest revenue category.</w:t>
      </w:r>
    </w:p>
    <w:p w14:paraId="0010012C" w14:textId="0010012D">
      <w:pPr>
        <w:pStyle w:val="Heading2"/>
        <w:spacing w:before="280" w:after="160"/>
      </w:pPr>
      <w:r>
        <w:rPr>
          <w:b/>
          <w:color w:val="283593"/>
          <w:sz w:val="28"/>
        </w:rPr>
        <w:t xml:space="preserve">Step 7 — Customer &amp; Payment Analysis</w:t>
      </w:r>
    </w:p>
    <w:p w14:paraId="0010012E" w14:textId="0010012F">
      <w:pPr>
        <w:pStyle w:val="Normal"/>
        <w:spacing w:after="120"/>
      </w:pPr>
      <w:r>
        <w:rPr>
          <w:b/>
          <w:sz w:val="22"/>
        </w:rPr>
        <w:t xml:space="preserve">Objective: Understand how customer demographics (type and gender) and payment preferences influence purchasing behaviour across product categories and branches.</w:t>
      </w:r>
    </w:p>
    <w:p w14:paraId="00100130" w14:textId="00100131">
      <w:pPr>
        <w:pStyle w:val="Normal"/>
        <w:spacing w:after="80"/>
      </w:pPr>
      <w:r>
        <w:rPr>
          <w:b/>
          <w:sz w:val="22"/>
        </w:rPr>
        <w:t xml:space="preserve">Customer Segmentation Analysis:</w:t>
      </w:r>
    </w:p>
    <w:p w14:paraId="00100132" w14:textId="00100133">
      <w:pPr>
        <w:pStyle w:val="Normal"/>
        <w:spacing w:after="120"/>
      </w:pPr>
      <w:r>
        <w:rPr>
          <w:sz w:val="22"/>
        </w:rPr>
        <w:t xml:space="preserve">Member vs Normal customers were compared by total sales, transaction count, and product line preference. Gender-based segmentation further reveals category-specific affinities.</w:t>
      </w:r>
    </w:p>
    <w:p w14:paraId="00100134" w14:textId="00100135">
      <w:pPr>
        <w:pStyle w:val="Normal"/>
        <w:spacing w:after="80"/>
      </w:pPr>
      <w:r>
        <w:rPr>
          <w:b/>
          <w:sz w:val="22"/>
        </w:rPr>
        <w:t xml:space="preserve">Payment Method Analysis:</w:t>
      </w:r>
    </w:p>
    <w:p w14:paraId="00100136" w14:textId="00100137">
      <w:pPr>
        <w:pStyle w:val="Normal"/>
        <w:spacing w:after="120"/>
      </w:pPr>
      <w:r>
        <w:rPr>
          <w:sz w:val="22"/>
        </w:rPr>
        <w:t xml:space="preserve">Three payment methods were analysed — Ewallet, Cash, and Credit Card — across branches and product lines. Average order values and transaction frequencies were compared.</w:t>
      </w:r>
    </w:p>
    <w:p w14:paraId="00100138" w14:textId="00100139">
      <w:pPr>
        <w:pStyle w:val="Normal"/>
        <w:spacing w:after="80"/>
      </w:pPr>
      <w:r>
        <w:rPr>
          <w:b/>
          <w:sz w:val="22"/>
        </w:rPr>
        <w:t xml:space="preserve">Visualisations Created:</w:t>
      </w:r>
    </w:p>
    <w:p w14:paraId="0010013A" w14:textId="0010013B">
      <w:pPr>
        <w:pStyle w:val="Normal"/>
        <w:spacing w:after="60"/>
      </w:pPr>
      <w:r>
        <w:rPr>
          <w:sz w:val="22"/>
        </w:rPr>
        <w:t xml:space="preserve">•  Donut charts — Sales by Customer Type and by Gender</w:t>
      </w:r>
    </w:p>
    <w:p w14:paraId="0010013C" w14:textId="0010013D">
      <w:pPr>
        <w:pStyle w:val="Normal"/>
        <w:spacing w:after="60"/>
      </w:pPr>
      <w:r>
        <w:rPr>
          <w:sz w:val="22"/>
        </w:rPr>
        <w:t xml:space="preserve">•  Grouped bar chart — Customer Type × Product Line</w:t>
      </w:r>
    </w:p>
    <w:p w14:paraId="0010013E" w14:textId="0010013F">
      <w:pPr>
        <w:pStyle w:val="Normal"/>
        <w:spacing w:after="60"/>
      </w:pPr>
      <w:r>
        <w:rPr>
          <w:sz w:val="22"/>
        </w:rPr>
        <w:t xml:space="preserve">•  Stacked bar chart — Gender × Product Line</w:t>
      </w:r>
    </w:p>
    <w:p w14:paraId="00100140" w14:textId="00100141">
      <w:pPr>
        <w:pStyle w:val="Normal"/>
        <w:spacing w:after="60"/>
      </w:pPr>
      <w:r>
        <w:rPr>
          <w:sz w:val="22"/>
        </w:rPr>
        <w:t xml:space="preserve">•  Pie chart — Sales share by Payment Method</w:t>
      </w:r>
    </w:p>
    <w:p w14:paraId="00100142" w14:textId="00100143">
      <w:pPr>
        <w:pStyle w:val="Normal"/>
        <w:spacing w:after="60"/>
      </w:pPr>
      <w:r>
        <w:rPr>
          <w:sz w:val="22"/>
        </w:rPr>
        <w:t xml:space="preserve">•  Grouped bar — Payment Method per Branch</w:t>
      </w:r>
    </w:p>
    <w:p w14:paraId="00100144" w14:textId="00100145">
      <w:pPr>
        <w:pStyle w:val="Normal"/>
        <w:spacing w:after="120"/>
      </w:pPr>
      <w:r>
        <w:rPr>
          <w:sz w:val="22"/>
        </w:rPr>
        <w:t xml:space="preserve">•  Bar chart — Average Order Value per Payment Method</w:t>
      </w:r>
    </w:p>
    <w:p w14:paraId="00100146" w14:textId="00100147">
      <w:pPr>
        <w:pStyle w:val="Normal"/>
        <w:spacing w:after="240"/>
      </w:pPr>
      <w:r>
        <w:rPr>
          <w:sz w:val="22"/>
        </w:rPr>
        <w:t xml:space="preserve">Key Findings: Members and Normal customers have similar overall spend, but Members show higher purchase frequency. Ewallet is the most popular payment method overall, while Credit Card users tend to have a higher average order value. Female customers show stronger affinity towards Fashion Accessories and Food &amp; Beverages.</w:t>
      </w:r>
    </w:p>
    <w:p w14:paraId="00100148" w14:textId="00100149">
      <w:pPr>
        <w:pStyle w:val="Heading2"/>
        <w:spacing w:before="280" w:after="160"/>
      </w:pPr>
      <w:r>
        <w:rPr>
          <w:b/>
          <w:color w:val="283593"/>
          <w:sz w:val="28"/>
        </w:rPr>
        <w:t xml:space="preserve">Step 8 — Ratings Analysis &amp; Dashboard Visualisation</w:t>
      </w:r>
    </w:p>
    <w:p w14:paraId="0010014A" w14:textId="0010014B">
      <w:pPr>
        <w:pStyle w:val="Normal"/>
        <w:spacing w:after="120"/>
      </w:pPr>
      <w:r>
        <w:rPr>
          <w:b/>
          <w:sz w:val="22"/>
        </w:rPr>
        <w:t xml:space="preserve">Objective: Analyse customer satisfaction ratings to identify quality leaders by product line and branch, and explore the relationship between customer satisfaction and sales volume.</w:t>
      </w:r>
    </w:p>
    <w:p w14:paraId="0010014C" w14:textId="0010014D">
      <w:pPr>
        <w:pStyle w:val="Normal"/>
        <w:spacing w:after="120"/>
      </w:pPr>
      <w:r>
        <w:rPr>
          <w:sz w:val="22"/>
        </w:rPr>
        <w:t xml:space="preserve">Ratings (scored 4–10) provide a direct measure of customer experience. Poor ratings signal operational or product issues, while high ratings validate strong service. This step also consolidates all prior analysis into the Streamlit interactive dashboard.</w:t>
      </w:r>
    </w:p>
    <w:p w14:paraId="0010014E" w14:textId="0010014F">
      <w:pPr>
        <w:pStyle w:val="Normal"/>
        <w:spacing w:after="80"/>
      </w:pPr>
      <w:r>
        <w:rPr>
          <w:b/>
          <w:sz w:val="22"/>
        </w:rPr>
        <w:t xml:space="preserve">Visualisations Created:</w:t>
      </w:r>
    </w:p>
    <w:p w14:paraId="00100150" w14:textId="00100151">
      <w:pPr>
        <w:pStyle w:val="Normal"/>
        <w:spacing w:after="60"/>
      </w:pPr>
      <w:r>
        <w:rPr>
          <w:sz w:val="22"/>
        </w:rPr>
        <w:t xml:space="preserve">•  Histogram — Overall rating frequency distribution</w:t>
      </w:r>
    </w:p>
    <w:p w14:paraId="00100152" w14:textId="00100153">
      <w:pPr>
        <w:pStyle w:val="Normal"/>
        <w:spacing w:after="60"/>
      </w:pPr>
      <w:r>
        <w:rPr>
          <w:sz w:val="22"/>
        </w:rPr>
        <w:t xml:space="preserve">•  Box plots — Rating spread and outliers per Branch</w:t>
      </w:r>
    </w:p>
    <w:p w14:paraId="00100154" w14:textId="00100155">
      <w:pPr>
        <w:pStyle w:val="Normal"/>
        <w:spacing w:after="60"/>
      </w:pPr>
      <w:r>
        <w:rPr>
          <w:sz w:val="22"/>
        </w:rPr>
        <w:t xml:space="preserve">•  Horizontal bar chart — Average Rating per Product Line (colour-coded Red-Yellow-Green)</w:t>
      </w:r>
    </w:p>
    <w:p w14:paraId="00100156" w14:textId="00100157">
      <w:pPr>
        <w:pStyle w:val="Normal"/>
        <w:spacing w:after="60"/>
      </w:pPr>
      <w:r>
        <w:rPr>
          <w:sz w:val="22"/>
        </w:rPr>
        <w:t xml:space="preserve">•  Scatter plot — Rating vs Sales with OLS trendline (bubble size = Quantity)</w:t>
      </w:r>
    </w:p>
    <w:p w14:paraId="00100158" w14:textId="00100159">
      <w:pPr>
        <w:pStyle w:val="Normal"/>
        <w:spacing w:after="120"/>
      </w:pPr>
      <w:r>
        <w:rPr>
          <w:sz w:val="22"/>
        </w:rPr>
        <w:t xml:space="preserve">•  Summary statistics table — Count, Mean, Std Dev, Min, Median, Max by Branch</w:t>
      </w:r>
    </w:p>
    <w:p w14:paraId="0010015A" w14:textId="0010015B">
      <w:pPr>
        <w:pStyle w:val="Normal"/>
        <w:spacing w:after="240"/>
      </w:pPr>
      <w:r>
        <w:rPr>
          <w:sz w:val="22"/>
        </w:rPr>
        <w:t xml:space="preserve">Dashboard Integration: All 8 analysis steps are presented through a 6-tab Streamlit dashboard (Overview, Products, Customers, Payments, Ratings, Raw Data) with sidebar filters for date, branch, city, product line, payment method, and customer type — enabling real-time drill-down into any data segment.</w:t>
      </w:r>
    </w:p>
    <w:p w14:paraId="0010015C" w14:textId="0010015D">
      <w:pPr>
        <w:pStyle w:val="Heading1"/>
        <w:spacing w:before="400" w:after="200"/>
      </w:pPr>
      <w:r>
        <w:rPr>
          <w:b/>
          <w:color w:val="1A237E"/>
          <w:sz w:val="36"/>
        </w:rPr>
        <w:t xml:space="preserve">11. Conclusions &amp; Business Recommendations</w:t>
      </w:r>
    </w:p>
    <w:p w14:paraId="0010015E" w14:textId="0010015F">
      <w:pPr>
        <w:pStyle w:val="Normal"/>
        <w:spacing w:after="200"/>
      </w:pPr>
      <w:r>
        <w:rPr>
          <w:sz w:val="22"/>
        </w:rPr>
        <w:t xml:space="preserve">Based on the eight-step analysis of 500 supermarket transactions, the following conclusions and strategic recommendations are made:</w:t>
      </w:r>
    </w:p>
    <w:p w14:paraId="00100160" w14:textId="00100161">
      <w:pPr>
        <w:pStyle w:val="Heading2"/>
        <w:spacing w:before="200" w:after="120"/>
      </w:pPr>
      <w:r>
        <w:rPr>
          <w:b/>
          <w:color w:val="283593"/>
          <w:sz w:val="26"/>
        </w:rPr>
        <w:t xml:space="preserve">Conclusion 1 — Branch Performance</w:t>
      </w:r>
    </w:p>
    <w:p w14:paraId="00100162" w14:textId="00100163">
      <w:pPr>
        <w:pStyle w:val="Normal"/>
        <w:spacing w:after="200"/>
      </w:pPr>
      <w:r>
        <w:rPr>
          <w:sz w:val="22"/>
        </w:rPr>
        <w:t xml:space="preserve">Branches A (Yangon) and C (Naypyitaw) generate the highest sales volume. Branch B (Mandalay) has comparable transaction counts but lower average order values. Recommendation: Investigate pricing strategies and upselling training at Branch B to increase average basket size.</w:t>
      </w:r>
    </w:p>
    <w:p w14:paraId="00100164" w14:textId="00100165">
      <w:pPr>
        <w:pStyle w:val="Heading2"/>
        <w:spacing w:before="200" w:after="120"/>
      </w:pPr>
      <w:r>
        <w:rPr>
          <w:b/>
          <w:color w:val="283593"/>
          <w:sz w:val="26"/>
        </w:rPr>
        <w:t xml:space="preserve">Conclusion 2 — Product Line Prioritisation</w:t>
      </w:r>
    </w:p>
    <w:p w14:paraId="00100166" w14:textId="00100167">
      <w:pPr>
        <w:pStyle w:val="Normal"/>
        <w:spacing w:after="200"/>
      </w:pPr>
      <w:r>
        <w:rPr>
          <w:sz w:val="22"/>
        </w:rPr>
        <w:t xml:space="preserve">Food &amp; Beverages and Fashion Accessories are revenue leaders, while Electronic Accessories leads in units sold. Health and Beauty commands the highest customer satisfaction ratings. Recommendation: Expand the Health and Beauty range and create bundled promotions with Food &amp; Beverages to maximise cross-sell revenue.</w:t>
      </w:r>
    </w:p>
    <w:p w14:paraId="00100168" w14:textId="00100169">
      <w:pPr>
        <w:pStyle w:val="Heading2"/>
        <w:spacing w:before="200" w:after="120"/>
      </w:pPr>
      <w:r>
        <w:rPr>
          <w:b/>
          <w:color w:val="283593"/>
          <w:sz w:val="26"/>
        </w:rPr>
        <w:t xml:space="preserve">Conclusion 3 — Customer Loyalty Programme</w:t>
      </w:r>
    </w:p>
    <w:p w14:paraId="0010016A" w14:textId="0010016B">
      <w:pPr>
        <w:pStyle w:val="Normal"/>
        <w:spacing w:after="200"/>
      </w:pPr>
      <w:r>
        <w:rPr>
          <w:sz w:val="22"/>
        </w:rPr>
        <w:t xml:space="preserve">Member and Normal customers show similar total spend, but Members purchase more frequently. Recommendation: Introduce tiered loyalty rewards to increase Member frequency and incentivise Normal customers to enrol, converting them into higher-frequency buyers.</w:t>
      </w:r>
    </w:p>
    <w:p w14:paraId="0010016C" w14:textId="0010016D">
      <w:pPr>
        <w:pStyle w:val="Heading2"/>
        <w:spacing w:before="200" w:after="120"/>
      </w:pPr>
      <w:r>
        <w:rPr>
          <w:b/>
          <w:color w:val="283593"/>
          <w:sz w:val="26"/>
        </w:rPr>
        <w:t xml:space="preserve">Conclusion 4 — Payment Infrastructure</w:t>
      </w:r>
    </w:p>
    <w:p w14:paraId="0010016E" w14:textId="0010016F">
      <w:pPr>
        <w:pStyle w:val="Normal"/>
        <w:spacing w:after="200"/>
      </w:pPr>
      <w:r>
        <w:rPr>
          <w:sz w:val="22"/>
        </w:rPr>
        <w:t xml:space="preserve">Ewallet is the dominant payment method by transaction count. Credit Card users generate higher average order values. Recommendation: Offer exclusive Credit Card discounts on high-value product lines to drive larger basket sizes. Ensure Ewallet platforms are always operational to avoid checkout friction.</w:t>
      </w:r>
    </w:p>
    <w:p w14:paraId="00100170" w14:textId="00100171">
      <w:pPr>
        <w:pStyle w:val="Heading2"/>
        <w:spacing w:before="200" w:after="120"/>
      </w:pPr>
      <w:r>
        <w:rPr>
          <w:b/>
          <w:color w:val="283593"/>
          <w:sz w:val="26"/>
        </w:rPr>
        <w:t xml:space="preserve">Conclusion 5 — Gender-Based Marketing</w:t>
      </w:r>
    </w:p>
    <w:p w14:paraId="00100172" w14:textId="00100173">
      <w:pPr>
        <w:pStyle w:val="Normal"/>
        <w:spacing w:after="200"/>
      </w:pPr>
      <w:r>
        <w:rPr>
          <w:sz w:val="22"/>
        </w:rPr>
        <w:t xml:space="preserve">Female customers show a clear preference for Fashion Accessories and Food &amp; Beverages. Male customers spend more on Health and Beauty and Electronic Accessories. Recommendation: Tailor in-store promotions and digital marketing by gender segment to improve relevance and conversion.</w:t>
      </w:r>
    </w:p>
    <w:p w14:paraId="00100174" w14:textId="00100175">
      <w:pPr>
        <w:pStyle w:val="Heading2"/>
        <w:spacing w:before="200" w:after="120"/>
      </w:pPr>
      <w:r>
        <w:rPr>
          <w:b/>
          <w:color w:val="283593"/>
          <w:sz w:val="26"/>
        </w:rPr>
        <w:t xml:space="preserve">Conclusion 6 — Customer Satisfaction</w:t>
      </w:r>
    </w:p>
    <w:p w14:paraId="00100176" w14:textId="00100177">
      <w:pPr>
        <w:pStyle w:val="Normal"/>
        <w:spacing w:after="200"/>
      </w:pPr>
      <w:r>
        <w:rPr>
          <w:sz w:val="22"/>
        </w:rPr>
        <w:t xml:space="preserve">Average ratings are relatively consistent across branches (6.5–7.5 / 10), indicating a baseline of acceptable service. The scatter analysis shows no strong linear correlation between rating and sales, suggesting satisfaction is driven by service quality rather than purchase amount. Recommendation: Implement post-purchase feedback loops to capture real-time rating data and address service gaps proactively.</w:t>
      </w:r>
    </w:p>
    <w:p w14:paraId="00100178" w14:textId="00100179">
      <w:pPr>
        <w:pStyle w:val="Heading2"/>
        <w:spacing w:before="200" w:after="120"/>
      </w:pPr>
      <w:r>
        <w:rPr>
          <w:b/>
          <w:color w:val="283593"/>
          <w:sz w:val="26"/>
        </w:rPr>
        <w:t xml:space="preserve">Conclusion 7 — Seasonal &amp; Temporal Trends</w:t>
      </w:r>
    </w:p>
    <w:p w14:paraId="0010017A" w14:textId="0010017B">
      <w:pPr>
        <w:pStyle w:val="Normal"/>
        <w:spacing w:after="200"/>
      </w:pPr>
      <w:r>
        <w:rPr>
          <w:sz w:val="22"/>
        </w:rPr>
        <w:t xml:space="preserve">The monthly trend line reveals fluctuations in sales across the Jan–Mar 2019 window. Recommendation: Extend the dataset to include a full calendar year for more reliable seasonality analysis. Use January peak months to plan promotional inventory in advance.</w:t>
      </w:r>
    </w:p>
    <w:p w14:paraId="0010017C" w14:textId="0010017D">
      <w:pPr>
        <w:pStyle w:val="Heading2"/>
        <w:spacing w:before="200" w:after="120"/>
      </w:pPr>
      <w:r>
        <w:rPr>
          <w:b/>
          <w:color w:val="283593"/>
          <w:sz w:val="26"/>
        </w:rPr>
        <w:t xml:space="preserve">Conclusion 8 — Dashboard &amp; Data Accessibility</w:t>
      </w:r>
    </w:p>
    <w:p w14:paraId="0010017E" w14:textId="0010017F">
      <w:pPr>
        <w:pStyle w:val="Normal"/>
        <w:spacing w:after="320"/>
      </w:pPr>
      <w:r>
        <w:rPr>
          <w:sz w:val="22"/>
        </w:rPr>
        <w:t xml:space="preserve">The Streamlit dashboard successfully democratises data access for non-technical stakeholders. All six analysis dimensions are accessible through interactive filters, real-time KPI cards, and export functionality. Recommendation: Deploy the dashboard on a cloud platform (e.g. Streamlit Cloud, AWS, or Azure) with automated daily data refresh to serve as a permanent operational BI tool.</w:t>
      </w:r>
    </w:p>
    <w:p w14:paraId="00100180" w14:textId="00100181">
      <w:pPr>
        <w:pStyle w:val="Heading1"/>
        <w:spacing w:before="320" w:after="200"/>
      </w:pPr>
      <w:r>
        <w:rPr>
          <w:b/>
          <w:color w:val="1A237E"/>
          <w:sz w:val="32"/>
        </w:rPr>
        <w:t xml:space="preserve">Summary Statistics at a Glance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2" w14:textId="00100183">
            <w:r>
              <w:t xml:space="preserve">Metric</w:t>
            </w:r>
          </w:p>
        </w:tc>
        <w:tc>
          <w:p w14:paraId="00100184" w14:textId="00100185">
            <w:r>
              <w:t xml:space="preserve">Value</w:t>
            </w:r>
          </w:p>
        </w:tc>
      </w:tr>
      <w:tr>
        <w:trPr/>
        <w:tc>
          <w:p w14:paraId="00100186" w14:textId="00100187">
            <w:r>
              <w:t xml:space="preserve">Total Transactions</w:t>
            </w:r>
          </w:p>
        </w:tc>
        <w:tc>
          <w:p w14:paraId="00100188" w14:textId="00100189">
            <w:r>
              <w:t xml:space="preserve">500</w:t>
            </w:r>
          </w:p>
        </w:tc>
      </w:tr>
      <w:tr>
        <w:trPr/>
        <w:tc>
          <w:p w14:paraId="0010018A" w14:textId="0010018B">
            <w:r>
              <w:t xml:space="preserve">Branches Covered</w:t>
            </w:r>
          </w:p>
        </w:tc>
        <w:tc>
          <w:p w14:paraId="0010018C" w14:textId="0010018D">
            <w:r>
              <w:t xml:space="preserve">3 (A — Yangon, B — Mandalay, C — Naypyitaw)</w:t>
            </w:r>
          </w:p>
        </w:tc>
      </w:tr>
      <w:tr>
        <w:trPr/>
        <w:tc>
          <w:p w14:paraId="0010018E" w14:textId="0010018F">
            <w:r>
              <w:t xml:space="preserve">Product Lines</w:t>
            </w:r>
          </w:p>
        </w:tc>
        <w:tc>
          <w:p w14:paraId="00100190" w14:textId="00100191">
            <w:r>
              <w:t xml:space="preserve">6 categories</w:t>
            </w:r>
          </w:p>
        </w:tc>
      </w:tr>
      <w:tr>
        <w:trPr/>
        <w:tc>
          <w:p w14:paraId="00100192" w14:textId="00100193">
            <w:r>
              <w:t xml:space="preserve">Payment Methods</w:t>
            </w:r>
          </w:p>
        </w:tc>
        <w:tc>
          <w:p w14:paraId="00100194" w14:textId="00100195">
            <w:r>
              <w:t xml:space="preserve">3 (Ewallet, Cash, Credit Card)</w:t>
            </w:r>
          </w:p>
        </w:tc>
      </w:tr>
      <w:tr>
        <w:trPr/>
        <w:tc>
          <w:p w14:paraId="00100196" w14:textId="00100197">
            <w:r>
              <w:t xml:space="preserve">Customer Types</w:t>
            </w:r>
          </w:p>
        </w:tc>
        <w:tc>
          <w:p w14:paraId="00100198" w14:textId="00100199">
            <w:r>
              <w:t xml:space="preserve">2 (Member, Normal)</w:t>
            </w:r>
          </w:p>
        </w:tc>
      </w:tr>
      <w:tr>
        <w:trPr/>
        <w:tc>
          <w:p w14:paraId="0010019A" w14:textId="0010019B">
            <w:r>
              <w:t xml:space="preserve">Analysis Period</w:t>
            </w:r>
          </w:p>
        </w:tc>
        <w:tc>
          <w:p w14:paraId="0010019C" w14:textId="0010019D">
            <w:r>
              <w:t xml:space="preserve">January – March 2019</w:t>
            </w:r>
          </w:p>
        </w:tc>
      </w:tr>
      <w:tr>
        <w:trPr/>
        <w:tc>
          <w:p w14:paraId="0010019E" w14:textId="0010019F">
            <w:r>
              <w:t xml:space="preserve">Dashboard Technology</w:t>
            </w:r>
          </w:p>
        </w:tc>
        <w:tc>
          <w:p w14:paraId="001001A0" w14:textId="001001A1">
            <w:r>
              <w:t xml:space="preserve">Python · Pandas · Plotly · Streamlit</w:t>
            </w:r>
          </w:p>
        </w:tc>
      </w:tr>
    </w:tbl>
    <w:p w14:paraId="001001A2" w14:textId="001001A3">
      <w:pPr>
        <w:pStyle w:val="Normal"/>
        <w:spacing w:before="480" w:after="120"/>
        <w:jc w:val="center"/>
      </w:pPr>
      <w:r>
        <w:rPr>
          <w:color w:val="999999"/>
          <w:sz w:val="22"/>
        </w:rPr>
        <w:t xml:space="preserve">End of Report</w:t>
      </w:r>
    </w:p>
    <w:p w14:paraId="001001A4" w14:textId="001001A5">
      <w:pPr>
        <w:pStyle w:val="Normal"/>
        <w:spacing w:after="120"/>
        <w:jc w:val="center"/>
      </w:pPr>
      <w:r>
        <w:rPr>
          <w:color w:val="AAAAAA"/>
          <w:sz w:val="20"/>
        </w:rPr>
        <w:t xml:space="preserve">Supermarket Sales Analysis Project  ·  Generated with Python &amp; Streamlit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5629af81c7346a3" /><Relationship Type="http://schemas.openxmlformats.org/officeDocument/2006/relationships/styles" Target="/word/styles.xml" Id="R46068dc687cf4ff2" /><Relationship Type="http://schemas.openxmlformats.org/officeDocument/2006/relationships/theme" Target="/word/theme/theme1.xml" Id="R88ad34c8a0b34f6e" /><Relationship Type="http://schemas.openxmlformats.org/officeDocument/2006/relationships/numbering" Target="/word/numbering.xml" Id="Rd7505f04cf9142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2026-09-23T16:08:33Z</dcterms:created>
  <cp:lastModifiedBy>OfficeCLI</cp:lastModifiedBy>
  <dcterms:modified xsi:type="dcterms:W3CDTF">2026-09-23T16:08:33Z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2026-09-23T16:08:37Z</vt:lpwstr>
  </op:property>
</op:Properties>
</file>